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D7" w:rsidRDefault="008936D7" w:rsidP="00EB2A80">
      <w:pPr>
        <w:rPr>
          <w:rFonts w:ascii="Sylfaen" w:hAnsi="Sylfaen" w:cs="Arial"/>
          <w:color w:val="000000"/>
          <w:shd w:val="clear" w:color="auto" w:fill="FFFFFF"/>
          <w:lang w:val="ka-GE"/>
        </w:rPr>
      </w:pPr>
      <w:bookmarkStart w:id="0" w:name="_GoBack"/>
      <w:bookmarkEnd w:id="0"/>
      <w:r w:rsidRPr="008936D7">
        <w:rPr>
          <w:b/>
          <w:bCs/>
        </w:rPr>
        <w:t>Portray:</w:t>
      </w:r>
    </w:p>
    <w:p w:rsidR="00EB2A80" w:rsidRDefault="008936D7" w:rsidP="00EB2A80">
      <w:r>
        <w:t>13 pieces of n</w:t>
      </w:r>
      <w:r w:rsidR="00EB2A80">
        <w:t>on-agricultural land</w:t>
      </w:r>
      <w:r>
        <w:t xml:space="preserve">, with total area of </w:t>
      </w:r>
      <w:r w:rsidRPr="008936D7">
        <w:t>89988 sq. m</w:t>
      </w:r>
      <w:r>
        <w:t xml:space="preserve"> with </w:t>
      </w:r>
      <w:proofErr w:type="spellStart"/>
      <w:r>
        <w:t>buildingsin</w:t>
      </w:r>
      <w:proofErr w:type="spellEnd"/>
      <w:r>
        <w:t xml:space="preserve"> Tbilisi, </w:t>
      </w:r>
      <w:proofErr w:type="spellStart"/>
      <w:r>
        <w:t>Tsktneti</w:t>
      </w:r>
      <w:proofErr w:type="spellEnd"/>
      <w:r>
        <w:t xml:space="preserve"> -</w:t>
      </w:r>
      <w:proofErr w:type="spellStart"/>
      <w:r>
        <w:t>Stalin,</w:t>
      </w:r>
      <w:r w:rsidR="00EB2A80">
        <w:t>Pirosmani</w:t>
      </w:r>
      <w:r>
        <w:t>and</w:t>
      </w:r>
      <w:proofErr w:type="spellEnd"/>
      <w:r w:rsidR="00EB2A80">
        <w:t xml:space="preserve"> David </w:t>
      </w:r>
      <w:proofErr w:type="spellStart"/>
      <w:r w:rsidR="00EB2A80">
        <w:t>Aghmashenebeli</w:t>
      </w:r>
      <w:proofErr w:type="spellEnd"/>
      <w:r w:rsidR="00EB2A80">
        <w:t xml:space="preserve"> street</w:t>
      </w:r>
      <w:r>
        <w:t xml:space="preserve">s, </w:t>
      </w:r>
      <w:proofErr w:type="spellStart"/>
      <w:r>
        <w:t>inthe</w:t>
      </w:r>
      <w:proofErr w:type="spellEnd"/>
      <w:r w:rsidR="00EB2A80">
        <w:t xml:space="preserve"> zone </w:t>
      </w:r>
      <w:r>
        <w:t>“</w:t>
      </w:r>
      <w:r w:rsidR="00EB2A80">
        <w:t>A</w:t>
      </w:r>
      <w:r>
        <w:t xml:space="preserve">” and on the </w:t>
      </w:r>
      <w:r w:rsidRPr="008936D7">
        <w:t xml:space="preserve"> territory</w:t>
      </w:r>
      <w:r>
        <w:t xml:space="preserve"> of Residence o</w:t>
      </w:r>
      <w:r>
        <w:rPr>
          <w:rFonts w:ascii="Sylfaen" w:hAnsi="Sylfaen"/>
        </w:rPr>
        <w:t>f</w:t>
      </w:r>
      <w:r>
        <w:t xml:space="preserve"> Government</w:t>
      </w:r>
    </w:p>
    <w:p w:rsidR="009411AD" w:rsidRDefault="009411AD" w:rsidP="00EB2A80"/>
    <w:p w:rsidR="00EB2A80" w:rsidRPr="008936D7" w:rsidRDefault="00EB2A80" w:rsidP="00EB2A80">
      <w:pPr>
        <w:rPr>
          <w:rFonts w:ascii="Sylfaen" w:hAnsi="Sylfaen"/>
          <w:b/>
          <w:bCs/>
          <w:lang w:val="ka-GE"/>
        </w:rPr>
      </w:pPr>
      <w:r>
        <w:rPr>
          <w:b/>
          <w:bCs/>
        </w:rPr>
        <w:t>Short Description:</w:t>
      </w:r>
    </w:p>
    <w:p w:rsidR="00EB2A80" w:rsidRDefault="00EB2A80" w:rsidP="009411AD">
      <w:r>
        <w:t xml:space="preserve">Non-agriculture land </w:t>
      </w:r>
      <w:r w:rsidRPr="009411AD">
        <w:t xml:space="preserve">89 988 </w:t>
      </w:r>
      <w:r w:rsidR="009411AD">
        <w:t>sq. m with</w:t>
      </w:r>
      <w:r>
        <w:t xml:space="preserve"> buildings </w:t>
      </w:r>
      <w:r w:rsidR="009411AD">
        <w:t xml:space="preserve">in </w:t>
      </w:r>
      <w:proofErr w:type="spellStart"/>
      <w:r w:rsidR="009411AD">
        <w:t>Tsktneti</w:t>
      </w:r>
      <w:proofErr w:type="spellEnd"/>
      <w:r w:rsidR="009411AD">
        <w:t xml:space="preserve">, </w:t>
      </w:r>
      <w:r>
        <w:t xml:space="preserve">Tbilisi (For </w:t>
      </w:r>
      <w:r w:rsidR="009411AD">
        <w:t>further details please see</w:t>
      </w:r>
      <w:r>
        <w:t xml:space="preserve"> attached file</w:t>
      </w:r>
      <w:r w:rsidR="009411AD">
        <w:t>s</w:t>
      </w:r>
      <w:r>
        <w:t>)</w:t>
      </w:r>
    </w:p>
    <w:p w:rsidR="00722923" w:rsidRPr="00CA0E52" w:rsidRDefault="00CA0E52" w:rsidP="00722923">
      <w:pPr>
        <w:pStyle w:val="NormalWeb"/>
        <w:rPr>
          <w:rFonts w:ascii="Calibri" w:hAnsi="Calibri"/>
          <w:b/>
          <w:bCs/>
        </w:rPr>
      </w:pPr>
      <w:r>
        <w:rPr>
          <w:rFonts w:ascii="Sylfaen" w:hAnsi="Sylfaen"/>
          <w:b/>
          <w:bCs/>
        </w:rPr>
        <w:t xml:space="preserve">Liabilities </w:t>
      </w:r>
    </w:p>
    <w:p w:rsidR="00722923" w:rsidRDefault="00722923" w:rsidP="00722923">
      <w:pPr>
        <w:pStyle w:val="NormalWeb"/>
        <w:ind w:left="720" w:hanging="360"/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sz w:val="14"/>
          <w:szCs w:val="14"/>
        </w:rPr>
        <w:t xml:space="preserve">      </w:t>
      </w:r>
      <w:r>
        <w:t>Paying privatization price within 2 (two) months after finishing electronic auction</w:t>
      </w:r>
    </w:p>
    <w:p w:rsidR="006E7A8F" w:rsidRDefault="00FF6310" w:rsidP="00722923">
      <w:pPr>
        <w:pStyle w:val="NormalWeb"/>
        <w:ind w:left="720" w:hanging="360"/>
      </w:pPr>
      <w:r>
        <w:rPr>
          <w:rFonts w:ascii="Calibri" w:hAnsi="Calibri"/>
        </w:rPr>
        <w:t xml:space="preserve">b)   </w:t>
      </w:r>
      <w:r w:rsidRPr="00FF6310">
        <w:t xml:space="preserve">In 36 months after signing respective agreement, construction of hotel complex on the entire property or part of it, personally or by the virtue of the third parties </w:t>
      </w:r>
      <w:r w:rsidR="006E7A8F" w:rsidRPr="006E7A8F">
        <w:t>(which may include  greening of property or part of it, arranging outdoor lighting and even dismantling measures, agreed with respective entities), getting into exploitation a</w:t>
      </w:r>
      <w:r w:rsidR="00977981">
        <w:t>nd starting operation. C</w:t>
      </w:r>
      <w:r w:rsidR="006E7A8F" w:rsidRPr="006E7A8F">
        <w:t xml:space="preserve">onstruction of new residential area as well as use of existing building for residential purposes is restricted for 30 years. </w:t>
      </w:r>
    </w:p>
    <w:p w:rsidR="00722923" w:rsidRDefault="00722923" w:rsidP="00722923">
      <w:pPr>
        <w:pStyle w:val="NormalWeb"/>
        <w:ind w:left="720" w:hanging="360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sz w:val="14"/>
          <w:szCs w:val="14"/>
        </w:rPr>
        <w:t xml:space="preserve">      </w:t>
      </w:r>
      <w:r>
        <w:t>Investing personally or by the virtue of the third parties at least 20 000 000 (Twenty million) GEL (Excluding VAT) to perform the liabilities mentioned in item "b".</w:t>
      </w:r>
    </w:p>
    <w:p w:rsidR="00722923" w:rsidRPr="00581389" w:rsidRDefault="00722923" w:rsidP="00722923">
      <w:pPr>
        <w:pStyle w:val="NormalWeb"/>
        <w:ind w:left="720" w:hanging="360"/>
      </w:pPr>
      <w:r>
        <w:rPr>
          <w:rFonts w:ascii="Calibri" w:hAnsi="Calibri"/>
        </w:rPr>
        <w:t>d)</w:t>
      </w:r>
      <w:r>
        <w:rPr>
          <w:sz w:val="14"/>
          <w:szCs w:val="14"/>
        </w:rPr>
        <w:t xml:space="preserve">      </w:t>
      </w:r>
      <w:r>
        <w:t xml:space="preserve">Due to ensuring the liabilities mentioned in paragraph a-c (including the penalties in accordance with agreement, in case of </w:t>
      </w:r>
      <w:r w:rsidR="00581389">
        <w:t>fulfillment</w:t>
      </w:r>
      <w:r>
        <w:t xml:space="preserve"> of obligations) the buyer must submit to the </w:t>
      </w:r>
      <w:r w:rsidRPr="00581389">
        <w:t>LLC  Asset Management and Development Company</w:t>
      </w:r>
      <w:r>
        <w:rPr>
          <w:rFonts w:ascii="Calibri" w:hAnsi="Calibri"/>
        </w:rPr>
        <w:t xml:space="preserve">  </w:t>
      </w:r>
      <w:r>
        <w:t>the Bank Guaranty in 10% of investment amount mentioned in paragraph “c” within 1 (one) month after finishing electronic auction. The Bank Guaranty must be issued by commercial banks, having the license of National Bank of Georgian and its duration should exceed the investme</w:t>
      </w:r>
      <w:r w:rsidR="0050361D">
        <w:t>nt period mentioned in paragraph “b ”in for 4(four) months.</w:t>
      </w:r>
    </w:p>
    <w:p w:rsidR="00722923" w:rsidRDefault="00722923" w:rsidP="00722923">
      <w:pPr>
        <w:pStyle w:val="NormalWeb"/>
        <w:rPr>
          <w:rFonts w:ascii="Calibri" w:hAnsi="Calibri"/>
        </w:rPr>
      </w:pPr>
    </w:p>
    <w:p w:rsidR="00722923" w:rsidRDefault="003F51CC" w:rsidP="00722923">
      <w:pPr>
        <w:pStyle w:val="NormalWeb"/>
        <w:ind w:left="36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Notes</w:t>
      </w:r>
      <w:r w:rsidR="00722923">
        <w:rPr>
          <w:rFonts w:ascii="Calibri" w:hAnsi="Calibri"/>
          <w:b/>
          <w:bCs/>
        </w:rPr>
        <w:t>:</w:t>
      </w:r>
    </w:p>
    <w:p w:rsidR="00722923" w:rsidRPr="003F51CC" w:rsidRDefault="00722923" w:rsidP="00722923">
      <w:pPr>
        <w:pStyle w:val="NormalWeb"/>
        <w:ind w:left="720" w:hanging="360"/>
      </w:pPr>
      <w:r>
        <w:rPr>
          <w:rFonts w:ascii="Calibri" w:hAnsi="Calibri"/>
        </w:rPr>
        <w:t>1</w:t>
      </w:r>
      <w:r w:rsidRPr="003F51CC">
        <w:t>.      The part of the property is the subject of lease (see attachment)</w:t>
      </w:r>
    </w:p>
    <w:p w:rsidR="00722923" w:rsidRPr="003F51CC" w:rsidRDefault="00722923" w:rsidP="00722923">
      <w:pPr>
        <w:pStyle w:val="NormalWeb"/>
        <w:ind w:left="720" w:hanging="360"/>
      </w:pPr>
      <w:r w:rsidRPr="003F51CC">
        <w:t xml:space="preserve">2.      4478.00 </w:t>
      </w:r>
      <w:r w:rsidR="003F51CC" w:rsidRPr="003F51CC">
        <w:t>sq. m</w:t>
      </w:r>
      <w:r w:rsidRPr="003F51CC">
        <w:t xml:space="preserve">. </w:t>
      </w:r>
      <w:r w:rsidR="003F51CC" w:rsidRPr="003F51CC">
        <w:t>of land</w:t>
      </w:r>
      <w:r w:rsidRPr="003F51CC">
        <w:t xml:space="preserve"> plot </w:t>
      </w:r>
      <w:r w:rsidR="003F51CC" w:rsidRPr="003F51CC">
        <w:t>with</w:t>
      </w:r>
      <w:r w:rsidRPr="003F51CC">
        <w:t xml:space="preserve"> cadastral code: </w:t>
      </w:r>
      <w:r w:rsidRPr="00A93E16">
        <w:t>01.20.01.1</w:t>
      </w:r>
      <w:r w:rsidR="00EF6A70" w:rsidRPr="00A93E16">
        <w:rPr>
          <w:rFonts w:ascii="Sylfaen" w:hAnsi="Sylfaen"/>
          <w:lang w:val="ka-GE"/>
        </w:rPr>
        <w:t>09</w:t>
      </w:r>
      <w:r w:rsidRPr="00A93E16">
        <w:t>.072 is</w:t>
      </w:r>
      <w:r w:rsidRPr="00BB5C14">
        <w:rPr>
          <w:color w:val="FF0000"/>
        </w:rPr>
        <w:t xml:space="preserve"> </w:t>
      </w:r>
      <w:r w:rsidRPr="003F51CC">
        <w:t xml:space="preserve">under the </w:t>
      </w:r>
      <w:r w:rsidR="003F51CC" w:rsidRPr="003F51CC">
        <w:t xml:space="preserve">right of </w:t>
      </w:r>
      <w:r w:rsidRPr="003F51CC">
        <w:t>servitude</w:t>
      </w:r>
      <w:r w:rsidR="003F51CC" w:rsidRPr="003F51CC">
        <w:t>; 69.00sq. m</w:t>
      </w:r>
      <w:r w:rsidRPr="003F51CC">
        <w:t xml:space="preserve">. </w:t>
      </w:r>
      <w:r w:rsidR="003F51CC" w:rsidRPr="003F51CC">
        <w:t xml:space="preserve">of land plot with </w:t>
      </w:r>
      <w:r w:rsidRPr="003F51CC">
        <w:t xml:space="preserve">cadastral code: 01.20.01.089.079 is under the </w:t>
      </w:r>
      <w:r w:rsidR="003F51CC" w:rsidRPr="003F51CC">
        <w:t>right of servitude</w:t>
      </w:r>
    </w:p>
    <w:p w:rsidR="00722923" w:rsidRDefault="00722923" w:rsidP="00722923">
      <w:pPr>
        <w:pStyle w:val="NormalWeb"/>
        <w:ind w:left="720" w:hanging="360"/>
        <w:rPr>
          <w:rStyle w:val="tlid-translation"/>
        </w:rPr>
      </w:pPr>
      <w:r>
        <w:rPr>
          <w:rStyle w:val="tlid-translation"/>
        </w:rPr>
        <w:t>3.</w:t>
      </w:r>
      <w:r>
        <w:rPr>
          <w:rStyle w:val="tlid-translation"/>
          <w:sz w:val="14"/>
          <w:szCs w:val="14"/>
        </w:rPr>
        <w:t xml:space="preserve">      </w:t>
      </w:r>
      <w:r>
        <w:rPr>
          <w:rStyle w:val="tlid-translation"/>
        </w:rPr>
        <w:t xml:space="preserve">Movable items </w:t>
      </w:r>
      <w:r w:rsidR="003F51CC">
        <w:rPr>
          <w:rStyle w:val="tlid-translation"/>
        </w:rPr>
        <w:t>are</w:t>
      </w:r>
      <w:r>
        <w:rPr>
          <w:rStyle w:val="tlid-translation"/>
        </w:rPr>
        <w:t xml:space="preserve"> not a subject of sale</w:t>
      </w:r>
    </w:p>
    <w:p w:rsidR="00722923" w:rsidRDefault="00722923" w:rsidP="00722923">
      <w:pPr>
        <w:pStyle w:val="NormalWeb"/>
        <w:ind w:left="720" w:hanging="360"/>
        <w:rPr>
          <w:rStyle w:val="tlid-translation"/>
          <w:rFonts w:ascii="Calibri" w:hAnsi="Calibri"/>
        </w:rPr>
      </w:pPr>
      <w:r>
        <w:rPr>
          <w:rStyle w:val="tlid-translation"/>
          <w:rFonts w:ascii="Calibri" w:hAnsi="Calibri"/>
        </w:rPr>
        <w:t>4.</w:t>
      </w:r>
      <w:r>
        <w:rPr>
          <w:rStyle w:val="tlid-translation"/>
          <w:sz w:val="14"/>
          <w:szCs w:val="14"/>
        </w:rPr>
        <w:t xml:space="preserve">      </w:t>
      </w:r>
      <w:r>
        <w:rPr>
          <w:rStyle w:val="tlid-translation"/>
        </w:rPr>
        <w:t xml:space="preserve">Information </w:t>
      </w:r>
      <w:r w:rsidR="00081AA8">
        <w:rPr>
          <w:rStyle w:val="tlid-translation"/>
        </w:rPr>
        <w:t>conserving the Building Capacities please visit</w:t>
      </w:r>
      <w:hyperlink r:id="rId5" w:history="1">
        <w:r>
          <w:rPr>
            <w:rStyle w:val="Hyperlink"/>
          </w:rPr>
          <w:t>www.tas.ge</w:t>
        </w:r>
      </w:hyperlink>
    </w:p>
    <w:p w:rsidR="00722923" w:rsidRDefault="00722923" w:rsidP="00722923">
      <w:pPr>
        <w:pStyle w:val="NormalWeb"/>
        <w:ind w:left="720" w:hanging="360"/>
        <w:rPr>
          <w:rStyle w:val="tlid-translation"/>
        </w:rPr>
      </w:pPr>
      <w:r>
        <w:rPr>
          <w:rStyle w:val="tlid-translation"/>
          <w:rFonts w:ascii="Calibri" w:hAnsi="Calibri"/>
        </w:rPr>
        <w:lastRenderedPageBreak/>
        <w:t>5.</w:t>
      </w:r>
      <w:r>
        <w:rPr>
          <w:rStyle w:val="tlid-translation"/>
          <w:sz w:val="14"/>
          <w:szCs w:val="14"/>
        </w:rPr>
        <w:t xml:space="preserve">      </w:t>
      </w:r>
      <w:r w:rsidRPr="003F51CC">
        <w:rPr>
          <w:rStyle w:val="tlid-translation"/>
        </w:rPr>
        <w:t xml:space="preserve">The </w:t>
      </w:r>
      <w:r w:rsidR="00615686" w:rsidRPr="003F51CC">
        <w:rPr>
          <w:rStyle w:val="tlid-translation"/>
        </w:rPr>
        <w:t>linear</w:t>
      </w:r>
      <w:r w:rsidR="00615686">
        <w:rPr>
          <w:rStyle w:val="tlid-translation"/>
        </w:rPr>
        <w:t xml:space="preserve"> on the property belong to</w:t>
      </w:r>
      <w:r w:rsidRPr="003F51CC">
        <w:rPr>
          <w:rStyle w:val="tlid-translation"/>
        </w:rPr>
        <w:t xml:space="preserve"> Tbilisi </w:t>
      </w:r>
      <w:r w:rsidR="00615686">
        <w:rPr>
          <w:rStyle w:val="tlid-translation"/>
        </w:rPr>
        <w:t>Municipality</w:t>
      </w:r>
      <w:r w:rsidRPr="003F51CC">
        <w:rPr>
          <w:rStyle w:val="tlid-translation"/>
        </w:rPr>
        <w:t xml:space="preserve"> (01.00.241), JSC </w:t>
      </w:r>
      <w:r w:rsidR="00615686" w:rsidRPr="003F51CC">
        <w:rPr>
          <w:rStyle w:val="tlid-translation"/>
        </w:rPr>
        <w:t>Silk</w:t>
      </w:r>
      <w:r w:rsidR="00615686">
        <w:rPr>
          <w:rStyle w:val="tlid-translation"/>
        </w:rPr>
        <w:t>-</w:t>
      </w:r>
      <w:r w:rsidR="00615686" w:rsidRPr="003F51CC">
        <w:rPr>
          <w:rStyle w:val="tlid-translation"/>
        </w:rPr>
        <w:t>net</w:t>
      </w:r>
      <w:r w:rsidRPr="003F51CC">
        <w:rPr>
          <w:rStyle w:val="tlid-translation"/>
        </w:rPr>
        <w:t xml:space="preserve"> (01.02.047), LLC Georgian Water and Powers (01.01.834), JSC </w:t>
      </w:r>
      <w:proofErr w:type="spellStart"/>
      <w:r w:rsidRPr="003F51CC">
        <w:rPr>
          <w:rStyle w:val="tlid-translation"/>
        </w:rPr>
        <w:t>Telasi</w:t>
      </w:r>
      <w:proofErr w:type="spellEnd"/>
      <w:r w:rsidRPr="003F51CC">
        <w:rPr>
          <w:rStyle w:val="tlid-translation"/>
        </w:rPr>
        <w:t xml:space="preserve"> (01.04.33</w:t>
      </w:r>
      <w:r w:rsidR="00615686">
        <w:rPr>
          <w:rStyle w:val="tlid-translation"/>
        </w:rPr>
        <w:t xml:space="preserve">8). </w:t>
      </w:r>
      <w:r w:rsidR="00615686">
        <w:rPr>
          <w:rStyle w:val="tlid-translation"/>
          <w:rFonts w:ascii="Sylfaen" w:hAnsi="Sylfaen"/>
        </w:rPr>
        <w:t xml:space="preserve">Once the excavation works are needed, </w:t>
      </w:r>
      <w:r w:rsidR="00053C47">
        <w:rPr>
          <w:rStyle w:val="tlid-translation"/>
          <w:rFonts w:ascii="Sylfaen" w:hAnsi="Sylfaen"/>
        </w:rPr>
        <w:t>preliminary project should</w:t>
      </w:r>
      <w:r w:rsidR="00615686">
        <w:rPr>
          <w:rStyle w:val="tlid-translation"/>
          <w:rFonts w:ascii="Sylfaen" w:hAnsi="Sylfaen"/>
        </w:rPr>
        <w:t xml:space="preserve"> be agreed </w:t>
      </w:r>
      <w:r w:rsidR="00053C47">
        <w:rPr>
          <w:rStyle w:val="tlid-translation"/>
          <w:rFonts w:ascii="Sylfaen" w:hAnsi="Sylfaen"/>
        </w:rPr>
        <w:t>with</w:t>
      </w:r>
      <w:r w:rsidR="00053C47">
        <w:rPr>
          <w:rStyle w:val="tlid-translation"/>
        </w:rPr>
        <w:t xml:space="preserve"> theowners and</w:t>
      </w:r>
      <w:r w:rsidR="00615686">
        <w:rPr>
          <w:rStyle w:val="tlid-translation"/>
        </w:rPr>
        <w:t xml:space="preserve"> the linear should</w:t>
      </w:r>
      <w:r w:rsidR="00053C47">
        <w:rPr>
          <w:rStyle w:val="tlid-translation"/>
        </w:rPr>
        <w:t xml:space="preserve"> be relocated beyond the territoryif necessary</w:t>
      </w:r>
      <w:r w:rsidR="00615686">
        <w:rPr>
          <w:rStyle w:val="tlid-translation"/>
        </w:rPr>
        <w:t>.</w:t>
      </w:r>
    </w:p>
    <w:p w:rsidR="00722923" w:rsidRPr="007A121B" w:rsidRDefault="00722923" w:rsidP="00722923">
      <w:pPr>
        <w:pStyle w:val="NormalWeb"/>
        <w:ind w:left="720" w:hanging="360"/>
        <w:rPr>
          <w:rStyle w:val="tlid-translation"/>
        </w:rPr>
      </w:pPr>
      <w:r>
        <w:t>6.</w:t>
      </w:r>
      <w:r>
        <w:rPr>
          <w:sz w:val="14"/>
          <w:szCs w:val="14"/>
        </w:rPr>
        <w:t xml:space="preserve">      </w:t>
      </w:r>
      <w:r w:rsidRPr="007A121B">
        <w:rPr>
          <w:rStyle w:val="tlid-translation"/>
        </w:rPr>
        <w:t xml:space="preserve">The </w:t>
      </w:r>
      <w:r w:rsidR="00053C47" w:rsidRPr="007A121B">
        <w:rPr>
          <w:rStyle w:val="tlid-translation"/>
        </w:rPr>
        <w:t xml:space="preserve">evaluation of the </w:t>
      </w:r>
      <w:r w:rsidRPr="007A121B">
        <w:rPr>
          <w:rStyle w:val="tlid-translation"/>
        </w:rPr>
        <w:t xml:space="preserve">property </w:t>
      </w:r>
      <w:r w:rsidR="00EF26F5">
        <w:rPr>
          <w:rStyle w:val="tlid-translation"/>
        </w:rPr>
        <w:t>was done</w:t>
      </w:r>
      <w:r w:rsidRPr="007A121B">
        <w:rPr>
          <w:rStyle w:val="tlid-translation"/>
        </w:rPr>
        <w:t xml:space="preserve"> by LEPL Levan </w:t>
      </w:r>
      <w:proofErr w:type="spellStart"/>
      <w:r w:rsidRPr="007A121B">
        <w:rPr>
          <w:rStyle w:val="tlid-translation"/>
        </w:rPr>
        <w:t>Samkharauli</w:t>
      </w:r>
      <w:proofErr w:type="spellEnd"/>
      <w:r w:rsidRPr="007A121B">
        <w:rPr>
          <w:rStyle w:val="tlid-translation"/>
        </w:rPr>
        <w:t xml:space="preserve"> National Bureau</w:t>
      </w:r>
      <w:r w:rsidR="00EF26F5">
        <w:rPr>
          <w:rStyle w:val="tlid-translation"/>
        </w:rPr>
        <w:t xml:space="preserve"> of Expertise </w:t>
      </w:r>
    </w:p>
    <w:p w:rsidR="00053C47" w:rsidRPr="007A121B" w:rsidRDefault="00722923" w:rsidP="00722923">
      <w:pPr>
        <w:pStyle w:val="NormalWeb"/>
        <w:ind w:left="720" w:hanging="360"/>
        <w:rPr>
          <w:rStyle w:val="tlid-translation"/>
        </w:rPr>
      </w:pPr>
      <w:r w:rsidRPr="007A121B">
        <w:rPr>
          <w:rStyle w:val="tlid-translation"/>
        </w:rPr>
        <w:t>7.</w:t>
      </w:r>
      <w:r w:rsidR="00E511D6" w:rsidRPr="007A121B">
        <w:rPr>
          <w:rStyle w:val="tlid-translation"/>
        </w:rPr>
        <w:t>   Auction results are failed and the winner loses the guarantee fee, unless the privatization amount is not paid within 2 (two) months after finishing electronic auction</w:t>
      </w:r>
    </w:p>
    <w:p w:rsidR="00722923" w:rsidRDefault="007A121B" w:rsidP="00722923">
      <w:pPr>
        <w:pStyle w:val="NormalWeb"/>
        <w:ind w:left="36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Attention!</w:t>
      </w:r>
    </w:p>
    <w:p w:rsidR="00722923" w:rsidRPr="007A121B" w:rsidRDefault="00722923" w:rsidP="00722923">
      <w:pPr>
        <w:pStyle w:val="NormalWeb"/>
        <w:ind w:left="720" w:hanging="360"/>
        <w:rPr>
          <w:rStyle w:val="tlid-translation"/>
        </w:rPr>
      </w:pPr>
      <w:r>
        <w:rPr>
          <w:rFonts w:ascii="Calibri" w:hAnsi="Calibri"/>
        </w:rPr>
        <w:t>1.</w:t>
      </w:r>
      <w:r>
        <w:rPr>
          <w:sz w:val="14"/>
          <w:szCs w:val="14"/>
        </w:rPr>
        <w:t xml:space="preserve">      </w:t>
      </w:r>
      <w:r w:rsidR="00512EE8" w:rsidRPr="007A121B">
        <w:rPr>
          <w:rStyle w:val="tlid-translation"/>
        </w:rPr>
        <w:t xml:space="preserve">Visiting the propertyduring the auction period </w:t>
      </w:r>
      <w:r w:rsidRPr="007A121B">
        <w:rPr>
          <w:rStyle w:val="tlid-translation"/>
        </w:rPr>
        <w:t xml:space="preserve">is </w:t>
      </w:r>
      <w:r w:rsidR="00512EE8" w:rsidRPr="007A121B">
        <w:rPr>
          <w:rStyle w:val="tlid-translation"/>
        </w:rPr>
        <w:t>available with permission of its owner</w:t>
      </w:r>
    </w:p>
    <w:p w:rsidR="00722923" w:rsidRPr="007A121B" w:rsidRDefault="00722923" w:rsidP="00722923">
      <w:pPr>
        <w:pStyle w:val="NormalWeb"/>
        <w:ind w:left="720" w:hanging="360"/>
        <w:rPr>
          <w:rStyle w:val="tlid-translation"/>
        </w:rPr>
      </w:pPr>
      <w:r w:rsidRPr="007A121B">
        <w:rPr>
          <w:rStyle w:val="tlid-translation"/>
        </w:rPr>
        <w:t xml:space="preserve">2.      </w:t>
      </w:r>
      <w:r w:rsidR="00512EE8" w:rsidRPr="007A121B">
        <w:rPr>
          <w:rStyle w:val="tlid-translation"/>
        </w:rPr>
        <w:t>To participate in</w:t>
      </w:r>
      <w:r w:rsidRPr="007A121B">
        <w:rPr>
          <w:rStyle w:val="tlid-translation"/>
        </w:rPr>
        <w:t xml:space="preserve"> auction </w:t>
      </w:r>
      <w:r w:rsidR="00512EE8" w:rsidRPr="007A121B">
        <w:rPr>
          <w:rStyle w:val="tlid-translation"/>
        </w:rPr>
        <w:t xml:space="preserve">you can make </w:t>
      </w:r>
      <w:r w:rsidR="003B669A" w:rsidRPr="007A121B">
        <w:rPr>
          <w:rStyle w:val="tlid-translation"/>
        </w:rPr>
        <w:t xml:space="preserve">your </w:t>
      </w:r>
      <w:r w:rsidR="00512EE8" w:rsidRPr="007A121B">
        <w:rPr>
          <w:rStyle w:val="tlid-translation"/>
        </w:rPr>
        <w:t>prepayment</w:t>
      </w:r>
      <w:r w:rsidRPr="007A121B">
        <w:rPr>
          <w:rStyle w:val="tlid-translation"/>
        </w:rPr>
        <w:t xml:space="preserve">: </w:t>
      </w:r>
    </w:p>
    <w:p w:rsidR="00722923" w:rsidRPr="007A121B" w:rsidRDefault="007A121B" w:rsidP="007A121B">
      <w:pPr>
        <w:pStyle w:val="NormalWeb"/>
        <w:numPr>
          <w:ilvl w:val="0"/>
          <w:numId w:val="2"/>
        </w:numPr>
        <w:rPr>
          <w:rStyle w:val="tlid-translation"/>
        </w:rPr>
      </w:pPr>
      <w:r>
        <w:rPr>
          <w:rStyle w:val="tlid-translation"/>
        </w:rPr>
        <w:t>By cash in JSC Liberty Bank</w:t>
      </w:r>
    </w:p>
    <w:p w:rsidR="00722923" w:rsidRPr="007A121B" w:rsidRDefault="00722923" w:rsidP="007A121B">
      <w:pPr>
        <w:pStyle w:val="NormalWeb"/>
        <w:numPr>
          <w:ilvl w:val="0"/>
          <w:numId w:val="2"/>
        </w:numPr>
        <w:rPr>
          <w:rStyle w:val="tlid-translation"/>
        </w:rPr>
      </w:pPr>
      <w:r w:rsidRPr="007A121B">
        <w:rPr>
          <w:rStyle w:val="tlid-translation"/>
        </w:rPr>
        <w:t xml:space="preserve">By plastic card form </w:t>
      </w:r>
      <w:r w:rsidR="003B669A" w:rsidRPr="007A121B">
        <w:rPr>
          <w:rStyle w:val="tlid-translation"/>
        </w:rPr>
        <w:t>web site</w:t>
      </w:r>
    </w:p>
    <w:p w:rsidR="00722923" w:rsidRPr="007A121B" w:rsidRDefault="003B669A" w:rsidP="007A121B">
      <w:pPr>
        <w:pStyle w:val="NormalWeb"/>
        <w:numPr>
          <w:ilvl w:val="0"/>
          <w:numId w:val="2"/>
        </w:numPr>
        <w:rPr>
          <w:rStyle w:val="tlid-translation"/>
        </w:rPr>
      </w:pPr>
      <w:r w:rsidRPr="007A121B">
        <w:rPr>
          <w:rStyle w:val="tlid-translation"/>
        </w:rPr>
        <w:t>Through</w:t>
      </w:r>
      <w:r w:rsidR="00722923" w:rsidRPr="007A121B">
        <w:rPr>
          <w:rStyle w:val="tlid-translation"/>
        </w:rPr>
        <w:t xml:space="preserve"> electronic bank gu</w:t>
      </w:r>
      <w:r w:rsidR="007A121B">
        <w:rPr>
          <w:rStyle w:val="tlid-translation"/>
        </w:rPr>
        <w:t>arantee</w:t>
      </w:r>
    </w:p>
    <w:p w:rsidR="006D105B" w:rsidRPr="007A121B" w:rsidRDefault="00722923" w:rsidP="007A121B">
      <w:pPr>
        <w:pStyle w:val="NormalWeb"/>
        <w:ind w:left="720" w:hanging="360"/>
        <w:rPr>
          <w:rStyle w:val="tlid-translation"/>
        </w:rPr>
      </w:pPr>
      <w:r w:rsidRPr="007A121B">
        <w:rPr>
          <w:rStyle w:val="tlid-translation"/>
        </w:rPr>
        <w:t>3.</w:t>
      </w:r>
      <w:r w:rsidR="006D105B" w:rsidRPr="007A121B">
        <w:rPr>
          <w:rStyle w:val="tlid-translation"/>
        </w:rPr>
        <w:t>     </w:t>
      </w:r>
      <w:r w:rsidR="007A121B" w:rsidRPr="007A121B">
        <w:rPr>
          <w:rStyle w:val="tlid-translation"/>
        </w:rPr>
        <w:t>For signing the agreement, buyer should apply the legal department of LLC Asset Management and Development Company within 45 calendar days after finishing electronic auction</w:t>
      </w:r>
    </w:p>
    <w:p w:rsidR="00722923" w:rsidRPr="007A121B" w:rsidRDefault="00722923" w:rsidP="007A121B">
      <w:pPr>
        <w:pStyle w:val="NormalWeb"/>
        <w:ind w:left="720" w:hanging="360"/>
        <w:rPr>
          <w:rStyle w:val="tlid-translation"/>
        </w:rPr>
      </w:pPr>
      <w:r w:rsidRPr="007A121B">
        <w:rPr>
          <w:rStyle w:val="tlid-translation"/>
        </w:rPr>
        <w:t>4.</w:t>
      </w:r>
      <w:r w:rsidR="00FD3F49">
        <w:rPr>
          <w:rStyle w:val="tlid-translation"/>
        </w:rPr>
        <w:t>   </w:t>
      </w:r>
      <w:r w:rsidRPr="007A121B">
        <w:rPr>
          <w:rStyle w:val="tlid-translation"/>
        </w:rPr>
        <w:t>For further information please contact</w:t>
      </w:r>
      <w:proofErr w:type="gramStart"/>
      <w:r w:rsidRPr="007A121B">
        <w:rPr>
          <w:rStyle w:val="tlid-translation"/>
        </w:rPr>
        <w:t>: :</w:t>
      </w:r>
      <w:proofErr w:type="gramEnd"/>
      <w:r w:rsidRPr="007A121B">
        <w:rPr>
          <w:rStyle w:val="tlid-translation"/>
        </w:rPr>
        <w:t xml:space="preserve"> (+995) 32  2  22 65 33 (LLC Asset Management and Development Company) (+995) 32  2  601 601 (</w:t>
      </w:r>
      <w:hyperlink r:id="rId6" w:history="1">
        <w:r w:rsidRPr="007A121B">
          <w:rPr>
            <w:rStyle w:val="tlid-translation"/>
          </w:rPr>
          <w:t>www.eauction.ge</w:t>
        </w:r>
      </w:hyperlink>
      <w:r w:rsidRPr="007A121B">
        <w:rPr>
          <w:rStyle w:val="tlid-translation"/>
        </w:rPr>
        <w:t>).</w:t>
      </w:r>
    </w:p>
    <w:p w:rsidR="00722923" w:rsidRDefault="00722923" w:rsidP="00722923">
      <w:pPr>
        <w:pStyle w:val="NormalWeb"/>
        <w:ind w:left="720"/>
        <w:rPr>
          <w:rFonts w:ascii="Calibri" w:hAnsi="Calibri"/>
          <w:lang w:val="ka-GE"/>
        </w:rPr>
      </w:pPr>
    </w:p>
    <w:p w:rsidR="00805B86" w:rsidRDefault="00805B86" w:rsidP="00722923">
      <w:pPr>
        <w:pStyle w:val="NormalWeb"/>
      </w:pPr>
    </w:p>
    <w:sectPr w:rsidR="00805B86" w:rsidSect="008F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8CE"/>
    <w:multiLevelType w:val="hybridMultilevel"/>
    <w:tmpl w:val="2D5C8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FC0097"/>
    <w:multiLevelType w:val="hybridMultilevel"/>
    <w:tmpl w:val="B58AE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CE"/>
    <w:rsid w:val="00053C47"/>
    <w:rsid w:val="00081AA8"/>
    <w:rsid w:val="00134129"/>
    <w:rsid w:val="001956CE"/>
    <w:rsid w:val="003B669A"/>
    <w:rsid w:val="003D031E"/>
    <w:rsid w:val="003F51CC"/>
    <w:rsid w:val="0050361D"/>
    <w:rsid w:val="00512EE8"/>
    <w:rsid w:val="005147B2"/>
    <w:rsid w:val="00581389"/>
    <w:rsid w:val="00615686"/>
    <w:rsid w:val="006D105B"/>
    <w:rsid w:val="006E7A8F"/>
    <w:rsid w:val="00722923"/>
    <w:rsid w:val="007A121B"/>
    <w:rsid w:val="00805B86"/>
    <w:rsid w:val="00885624"/>
    <w:rsid w:val="008936D7"/>
    <w:rsid w:val="008D6AA2"/>
    <w:rsid w:val="008F754E"/>
    <w:rsid w:val="009411AD"/>
    <w:rsid w:val="00977981"/>
    <w:rsid w:val="00A93E16"/>
    <w:rsid w:val="00AE3917"/>
    <w:rsid w:val="00AE6D24"/>
    <w:rsid w:val="00BB5C14"/>
    <w:rsid w:val="00CA0E52"/>
    <w:rsid w:val="00D37FD2"/>
    <w:rsid w:val="00D91191"/>
    <w:rsid w:val="00E511D6"/>
    <w:rsid w:val="00EB2A80"/>
    <w:rsid w:val="00EF26F5"/>
    <w:rsid w:val="00EF6A70"/>
    <w:rsid w:val="00FD3F49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8F27F-C69A-4036-BF33-BDB06B9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A8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B2A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A80"/>
    <w:pPr>
      <w:ind w:left="720"/>
    </w:pPr>
  </w:style>
  <w:style w:type="character" w:customStyle="1" w:styleId="tlid-translation">
    <w:name w:val="tlid-translation"/>
    <w:basedOn w:val="DefaultParagraphFont"/>
    <w:rsid w:val="00E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uction.ge/" TargetMode="External"/><Relationship Id="rId5" Type="http://schemas.openxmlformats.org/officeDocument/2006/relationships/hyperlink" Target="http://www.tas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 Chelidze</dc:creator>
  <cp:keywords/>
  <dc:description/>
  <cp:lastModifiedBy>Nino Tushishvili</cp:lastModifiedBy>
  <cp:revision>2</cp:revision>
  <cp:lastPrinted>2019-12-24T09:53:00Z</cp:lastPrinted>
  <dcterms:created xsi:type="dcterms:W3CDTF">2019-12-24T12:36:00Z</dcterms:created>
  <dcterms:modified xsi:type="dcterms:W3CDTF">2019-12-24T12:36:00Z</dcterms:modified>
</cp:coreProperties>
</file>