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2747"/>
        <w:gridCol w:w="6727"/>
      </w:tblGrid>
      <w:tr w:rsidR="006B295F" w:rsidRPr="00D06145" w:rsidTr="00816C5D">
        <w:trPr>
          <w:trHeight w:val="341"/>
        </w:trPr>
        <w:tc>
          <w:tcPr>
            <w:tcW w:w="3171" w:type="dxa"/>
            <w:gridSpan w:val="2"/>
          </w:tcPr>
          <w:p w:rsidR="006B295F" w:rsidRPr="00D06145" w:rsidRDefault="002835B3" w:rsidP="00821913">
            <w:pPr>
              <w:spacing w:line="240" w:lineRule="auto"/>
              <w:jc w:val="center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:rsidR="006B295F" w:rsidRPr="00D06145" w:rsidRDefault="002835B3" w:rsidP="00821913">
            <w:pPr>
              <w:spacing w:line="240" w:lineRule="auto"/>
              <w:jc w:val="center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შპს ,,სოკარ ჯორჯია გაზი’’</w:t>
            </w:r>
          </w:p>
        </w:tc>
      </w:tr>
      <w:tr w:rsidR="006B295F" w:rsidRPr="00D06145" w:rsidTr="00816C5D">
        <w:trPr>
          <w:trHeight w:val="930"/>
        </w:trPr>
        <w:tc>
          <w:tcPr>
            <w:tcW w:w="423" w:type="dxa"/>
          </w:tcPr>
          <w:p w:rsidR="006B295F" w:rsidRPr="00D06145" w:rsidRDefault="00B173B1" w:rsidP="002835B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748" w:type="dxa"/>
          </w:tcPr>
          <w:p w:rsidR="006B295F" w:rsidRPr="00D06145" w:rsidRDefault="002835B3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საიდენტიფიკაციო ნომერი</w:t>
            </w:r>
          </w:p>
        </w:tc>
        <w:tc>
          <w:tcPr>
            <w:tcW w:w="6739" w:type="dxa"/>
          </w:tcPr>
          <w:p w:rsidR="006B295F" w:rsidRPr="00D06145" w:rsidRDefault="002835B3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202403121</w:t>
            </w:r>
          </w:p>
        </w:tc>
      </w:tr>
      <w:tr w:rsidR="000B1DD3" w:rsidRPr="00D06145" w:rsidTr="00816C5D">
        <w:trPr>
          <w:trHeight w:val="930"/>
        </w:trPr>
        <w:tc>
          <w:tcPr>
            <w:tcW w:w="423" w:type="dxa"/>
          </w:tcPr>
          <w:p w:rsidR="000B1DD3" w:rsidRPr="00B173B1" w:rsidRDefault="00B173B1" w:rsidP="002835B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748" w:type="dxa"/>
          </w:tcPr>
          <w:p w:rsidR="000B1DD3" w:rsidRPr="00D06145" w:rsidRDefault="002835B3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მისამართი/ტელეფონი</w:t>
            </w:r>
          </w:p>
        </w:tc>
        <w:tc>
          <w:tcPr>
            <w:tcW w:w="6739" w:type="dxa"/>
          </w:tcPr>
          <w:p w:rsidR="00812E63" w:rsidRDefault="00456E80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ქ. თბილისი, 300 არაგველის</w:t>
            </w:r>
            <w:r w:rsidR="00812E63">
              <w:rPr>
                <w:rFonts w:ascii="Sylfaen" w:hAnsi="Sylfaen"/>
                <w:lang w:val="ka-GE"/>
              </w:rPr>
              <w:t xml:space="preserve"> N 24</w:t>
            </w:r>
            <w:r w:rsidRPr="00D06145">
              <w:rPr>
                <w:rFonts w:ascii="Sylfaen" w:hAnsi="Sylfaen"/>
                <w:lang w:val="ka-GE"/>
              </w:rPr>
              <w:t xml:space="preserve"> </w:t>
            </w:r>
          </w:p>
          <w:p w:rsidR="000B1DD3" w:rsidRPr="00D06145" w:rsidRDefault="00456E80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ტელ</w:t>
            </w:r>
            <w:r w:rsidR="003D5925">
              <w:rPr>
                <w:rFonts w:ascii="Sylfaen" w:hAnsi="Sylfaen"/>
                <w:lang w:val="ka-GE"/>
              </w:rPr>
              <w:t>: 577 105 235</w:t>
            </w:r>
          </w:p>
        </w:tc>
      </w:tr>
      <w:tr w:rsidR="000B1DD3" w:rsidRPr="00D06145" w:rsidTr="00816C5D">
        <w:trPr>
          <w:trHeight w:val="872"/>
        </w:trPr>
        <w:tc>
          <w:tcPr>
            <w:tcW w:w="423" w:type="dxa"/>
          </w:tcPr>
          <w:p w:rsidR="000B1DD3" w:rsidRPr="00B173B1" w:rsidRDefault="00B173B1" w:rsidP="002835B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748" w:type="dxa"/>
          </w:tcPr>
          <w:p w:rsidR="000B1DD3" w:rsidRPr="00D06145" w:rsidRDefault="00821913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ელ - ფოსტა</w:t>
            </w:r>
          </w:p>
        </w:tc>
        <w:tc>
          <w:tcPr>
            <w:tcW w:w="6739" w:type="dxa"/>
          </w:tcPr>
          <w:p w:rsidR="000B1DD3" w:rsidRPr="003D5925" w:rsidRDefault="003D5925" w:rsidP="00D06145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3D5925">
              <w:rPr>
                <w:rStyle w:val="rpc41"/>
                <w:rFonts w:ascii="Segoe UI" w:hAnsi="Segoe UI" w:cs="Segoe UI"/>
                <w:color w:val="0072C6"/>
                <w:sz w:val="20"/>
                <w:szCs w:val="20"/>
              </w:rPr>
              <w:t>A.Aliyev@socar.ge</w:t>
            </w:r>
          </w:p>
        </w:tc>
      </w:tr>
      <w:tr w:rsidR="000B1DD3" w:rsidRPr="00D06145" w:rsidTr="00816C5D">
        <w:trPr>
          <w:trHeight w:val="881"/>
        </w:trPr>
        <w:tc>
          <w:tcPr>
            <w:tcW w:w="423" w:type="dxa"/>
          </w:tcPr>
          <w:p w:rsidR="000B1DD3" w:rsidRPr="00B173B1" w:rsidRDefault="00B173B1" w:rsidP="002835B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748" w:type="dxa"/>
          </w:tcPr>
          <w:p w:rsidR="000B1DD3" w:rsidRPr="00D06145" w:rsidRDefault="00821913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:rsidR="00821913" w:rsidRPr="00D06145" w:rsidRDefault="005B0344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შავი ლითონის ჯართი</w:t>
            </w:r>
          </w:p>
          <w:p w:rsidR="00821913" w:rsidRPr="00D06145" w:rsidRDefault="00821913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0B1DD3" w:rsidRPr="00D06145" w:rsidTr="00816C5D">
        <w:trPr>
          <w:trHeight w:val="737"/>
        </w:trPr>
        <w:tc>
          <w:tcPr>
            <w:tcW w:w="423" w:type="dxa"/>
          </w:tcPr>
          <w:p w:rsidR="000B1DD3" w:rsidRPr="00B173B1" w:rsidRDefault="00B173B1" w:rsidP="002835B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2748" w:type="dxa"/>
          </w:tcPr>
          <w:p w:rsidR="000B1DD3" w:rsidRPr="00D06145" w:rsidRDefault="00F52361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ნივთის რაოდენობა/ზომის    ერთეული</w:t>
            </w:r>
          </w:p>
        </w:tc>
        <w:tc>
          <w:tcPr>
            <w:tcW w:w="6739" w:type="dxa"/>
          </w:tcPr>
          <w:p w:rsidR="000B1DD3" w:rsidRPr="00D06145" w:rsidRDefault="0047274F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9031FE">
              <w:rPr>
                <w:rFonts w:ascii="Sylfaen" w:hAnsi="Sylfaen"/>
                <w:lang w:val="ka-GE"/>
              </w:rPr>
              <w:t>სავარაუდო წონა</w:t>
            </w:r>
            <w:r w:rsidR="001624A0" w:rsidRPr="009031FE">
              <w:rPr>
                <w:rFonts w:ascii="Sylfaen" w:hAnsi="Sylfaen"/>
                <w:lang w:val="ka-GE"/>
              </w:rPr>
              <w:t xml:space="preserve"> 25</w:t>
            </w:r>
            <w:r w:rsidRPr="009031FE">
              <w:rPr>
                <w:rFonts w:ascii="Sylfaen" w:hAnsi="Sylfaen"/>
                <w:lang w:val="ka-GE"/>
              </w:rPr>
              <w:t xml:space="preserve"> </w:t>
            </w:r>
            <w:r w:rsidR="00721CA6">
              <w:rPr>
                <w:rFonts w:ascii="Sylfaen" w:hAnsi="Sylfaen"/>
                <w:lang w:val="ka-GE"/>
              </w:rPr>
              <w:t>000</w:t>
            </w:r>
            <w:r w:rsidRPr="009031FE">
              <w:rPr>
                <w:rFonts w:ascii="Sylfaen" w:hAnsi="Sylfaen"/>
                <w:lang w:val="ka-GE"/>
              </w:rPr>
              <w:t>(</w:t>
            </w:r>
            <w:r w:rsidR="001624A0" w:rsidRPr="009031FE">
              <w:rPr>
                <w:rFonts w:ascii="Sylfaen" w:hAnsi="Sylfaen"/>
                <w:lang w:val="ka-GE"/>
              </w:rPr>
              <w:t>ოცდახუთი</w:t>
            </w:r>
            <w:r w:rsidR="00721CA6">
              <w:rPr>
                <w:rFonts w:ascii="Sylfaen" w:hAnsi="Sylfaen"/>
                <w:lang w:val="ka-GE"/>
              </w:rPr>
              <w:t xml:space="preserve"> </w:t>
            </w:r>
            <w:r w:rsidR="009031FE" w:rsidRPr="009031FE">
              <w:rPr>
                <w:rFonts w:ascii="Sylfaen" w:hAnsi="Sylfaen"/>
                <w:lang w:val="ka-GE"/>
              </w:rPr>
              <w:t>ათასი</w:t>
            </w:r>
            <w:r w:rsidRPr="009031FE">
              <w:rPr>
                <w:rFonts w:ascii="Sylfaen" w:hAnsi="Sylfaen"/>
                <w:lang w:val="ka-GE"/>
              </w:rPr>
              <w:t>) კგ.</w:t>
            </w:r>
          </w:p>
        </w:tc>
      </w:tr>
      <w:tr w:rsidR="000B1DD3" w:rsidRPr="00D06145" w:rsidTr="00816C5D">
        <w:trPr>
          <w:trHeight w:val="89"/>
        </w:trPr>
        <w:tc>
          <w:tcPr>
            <w:tcW w:w="423" w:type="dxa"/>
          </w:tcPr>
          <w:p w:rsidR="000B1DD3" w:rsidRPr="00B173B1" w:rsidRDefault="00B173B1" w:rsidP="002835B3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2748" w:type="dxa"/>
          </w:tcPr>
          <w:p w:rsidR="00F52361" w:rsidRPr="00D06145" w:rsidRDefault="0047274F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ჯართის</w:t>
            </w:r>
          </w:p>
          <w:p w:rsidR="000B1DD3" w:rsidRPr="00D06145" w:rsidRDefault="00F52361" w:rsidP="00D06145">
            <w:pPr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:rsidR="00F52361" w:rsidRPr="00D06145" w:rsidRDefault="00F52361" w:rsidP="00D06145">
            <w:pPr>
              <w:jc w:val="both"/>
              <w:rPr>
                <w:rFonts w:ascii="Sylfaen" w:hAnsi="Sylfaen"/>
                <w:lang w:val="ka-GE"/>
              </w:rPr>
            </w:pPr>
            <w:r w:rsidRPr="009031FE">
              <w:rPr>
                <w:rFonts w:ascii="Sylfaen" w:hAnsi="Sylfaen"/>
                <w:lang w:val="ka-GE"/>
              </w:rPr>
              <w:t xml:space="preserve">ქ. თბილისი, </w:t>
            </w:r>
            <w:r w:rsidR="0047274F" w:rsidRPr="009031FE">
              <w:rPr>
                <w:rFonts w:ascii="Sylfaen" w:hAnsi="Sylfaen"/>
                <w:lang w:val="ka-GE"/>
              </w:rPr>
              <w:t>ალექსევკის დასახალება</w:t>
            </w:r>
            <w:r w:rsidR="003D5925">
              <w:rPr>
                <w:rFonts w:ascii="Sylfaen" w:hAnsi="Sylfaen"/>
                <w:lang w:val="ka-GE"/>
              </w:rPr>
              <w:t>.</w:t>
            </w:r>
          </w:p>
          <w:p w:rsidR="000B1DD3" w:rsidRPr="00D06145" w:rsidRDefault="000B1DD3" w:rsidP="00D0614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F52361" w:rsidRPr="00D06145" w:rsidTr="00816C5D">
        <w:trPr>
          <w:trHeight w:val="1331"/>
        </w:trPr>
        <w:tc>
          <w:tcPr>
            <w:tcW w:w="423" w:type="dxa"/>
          </w:tcPr>
          <w:p w:rsidR="00F52361" w:rsidRPr="00B173B1" w:rsidRDefault="00B173B1" w:rsidP="00F5236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2748" w:type="dxa"/>
          </w:tcPr>
          <w:p w:rsidR="00F52361" w:rsidRPr="00D06145" w:rsidRDefault="00F52361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საწყისი ფასი</w:t>
            </w:r>
          </w:p>
        </w:tc>
        <w:tc>
          <w:tcPr>
            <w:tcW w:w="6739" w:type="dxa"/>
          </w:tcPr>
          <w:p w:rsidR="00F52361" w:rsidRPr="0047274F" w:rsidRDefault="009031FE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 w:rsidRPr="009031FE">
              <w:rPr>
                <w:rFonts w:cstheme="minorHAnsi"/>
                <w:b/>
                <w:lang w:val="ka-GE"/>
              </w:rPr>
              <w:t>25</w:t>
            </w:r>
            <w:r w:rsidR="0047274F" w:rsidRPr="009031FE">
              <w:rPr>
                <w:rFonts w:cstheme="minorHAnsi"/>
                <w:b/>
                <w:lang w:val="ka-GE"/>
              </w:rPr>
              <w:t xml:space="preserve"> </w:t>
            </w:r>
            <w:r w:rsidR="0047274F" w:rsidRPr="009031FE">
              <w:rPr>
                <w:rFonts w:ascii="Sylfaen" w:hAnsi="Sylfaen" w:cs="Sylfaen"/>
                <w:b/>
                <w:lang w:val="ka-GE"/>
              </w:rPr>
              <w:t>ტონის</w:t>
            </w:r>
            <w:r w:rsidR="0047274F" w:rsidRPr="009031FE">
              <w:rPr>
                <w:rFonts w:cstheme="minorHAnsi"/>
                <w:b/>
                <w:lang w:val="ka-GE"/>
              </w:rPr>
              <w:t xml:space="preserve"> </w:t>
            </w:r>
            <w:r w:rsidR="00F52361" w:rsidRPr="009031FE">
              <w:rPr>
                <w:rFonts w:cstheme="minorHAnsi"/>
                <w:b/>
                <w:lang w:val="ka-GE"/>
              </w:rPr>
              <w:t xml:space="preserve"> </w:t>
            </w:r>
            <w:r w:rsidR="00F52361" w:rsidRPr="009031FE">
              <w:rPr>
                <w:rFonts w:ascii="Sylfaen" w:hAnsi="Sylfaen" w:cs="Sylfaen"/>
                <w:b/>
                <w:lang w:val="ka-GE"/>
              </w:rPr>
              <w:t>საწყისი</w:t>
            </w:r>
            <w:r w:rsidR="00F52361" w:rsidRPr="009031FE">
              <w:rPr>
                <w:rFonts w:cstheme="minorHAnsi"/>
                <w:b/>
                <w:lang w:val="ka-GE"/>
              </w:rPr>
              <w:t xml:space="preserve"> </w:t>
            </w:r>
            <w:r w:rsidR="00F52361" w:rsidRPr="009031FE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 w:rsidRPr="009031FE">
              <w:rPr>
                <w:rFonts w:cstheme="minorHAnsi"/>
                <w:b/>
                <w:lang w:val="ka-GE"/>
              </w:rPr>
              <w:t xml:space="preserve"> 10000</w:t>
            </w:r>
            <w:r w:rsidR="00F52361" w:rsidRPr="009031FE">
              <w:rPr>
                <w:rFonts w:cstheme="minorHAnsi"/>
                <w:b/>
                <w:lang w:val="ka-GE"/>
              </w:rPr>
              <w:t xml:space="preserve"> (</w:t>
            </w:r>
            <w:r w:rsidRPr="009031FE">
              <w:rPr>
                <w:rFonts w:ascii="Sylfaen" w:hAnsi="Sylfaen" w:cs="Sylfaen"/>
                <w:b/>
                <w:lang w:val="ka-GE"/>
              </w:rPr>
              <w:t>ათი ათასი</w:t>
            </w:r>
            <w:r w:rsidR="00F52361" w:rsidRPr="009031FE">
              <w:rPr>
                <w:rFonts w:cstheme="minorHAnsi"/>
                <w:b/>
                <w:lang w:val="ka-GE"/>
              </w:rPr>
              <w:t xml:space="preserve">) </w:t>
            </w:r>
            <w:r w:rsidR="00F52361" w:rsidRPr="009031FE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9031FE">
              <w:rPr>
                <w:rFonts w:cstheme="minorHAnsi"/>
                <w:b/>
                <w:lang w:val="ka-GE"/>
              </w:rPr>
              <w:t>. (</w:t>
            </w:r>
            <w:r w:rsidR="00F52361" w:rsidRPr="009031FE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9031FE">
              <w:rPr>
                <w:rFonts w:cstheme="minorHAnsi"/>
                <w:b/>
                <w:lang w:val="ka-GE"/>
              </w:rPr>
              <w:t xml:space="preserve"> </w:t>
            </w:r>
            <w:r w:rsidR="00F52361" w:rsidRPr="009031FE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9031FE">
              <w:rPr>
                <w:rFonts w:cstheme="minorHAnsi"/>
                <w:b/>
                <w:lang w:val="ka-GE"/>
              </w:rPr>
              <w:t xml:space="preserve"> </w:t>
            </w:r>
            <w:r w:rsidR="00F52361" w:rsidRPr="009031FE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9031FE">
              <w:rPr>
                <w:rFonts w:cstheme="minorHAnsi"/>
                <w:b/>
                <w:lang w:val="ka-GE"/>
              </w:rPr>
              <w:t xml:space="preserve"> </w:t>
            </w:r>
            <w:r w:rsidR="00F52361" w:rsidRPr="009031FE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9031FE">
              <w:rPr>
                <w:rFonts w:cstheme="minorHAnsi"/>
                <w:b/>
                <w:lang w:val="ka-GE"/>
              </w:rPr>
              <w:t xml:space="preserve"> </w:t>
            </w:r>
            <w:r w:rsidR="00F52361" w:rsidRPr="009031FE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9031FE">
              <w:rPr>
                <w:rFonts w:cstheme="minorHAnsi"/>
                <w:b/>
                <w:lang w:val="ka-GE"/>
              </w:rPr>
              <w:t>)</w:t>
            </w:r>
          </w:p>
          <w:p w:rsidR="0047274F" w:rsidRPr="0047274F" w:rsidRDefault="0047274F" w:rsidP="0047274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63"/>
              <w:rPr>
                <w:rFonts w:cstheme="minorHAnsi"/>
                <w:b/>
                <w:lang w:val="ka-GE"/>
              </w:rPr>
            </w:pPr>
            <w:r w:rsidRPr="0047274F">
              <w:rPr>
                <w:rFonts w:ascii="Sylfaen" w:hAnsi="Sylfaen" w:cs="Sylfaen"/>
                <w:b/>
                <w:lang w:val="ka-GE"/>
              </w:rPr>
              <w:t>ჯართის</w:t>
            </w:r>
            <w:r w:rsidRPr="0047274F">
              <w:rPr>
                <w:rFonts w:cstheme="minorHAnsi"/>
                <w:b/>
                <w:lang w:val="ka-GE"/>
              </w:rPr>
              <w:t xml:space="preserve">  </w:t>
            </w:r>
            <w:r w:rsidRPr="0047274F">
              <w:rPr>
                <w:rFonts w:ascii="Sylfaen" w:hAnsi="Sylfaen" w:cs="Sylfaen"/>
                <w:b/>
                <w:lang w:val="ka-GE"/>
              </w:rPr>
              <w:t>საბოლოო</w:t>
            </w:r>
            <w:r w:rsidRPr="0047274F">
              <w:rPr>
                <w:rFonts w:cstheme="minorHAnsi"/>
                <w:b/>
                <w:lang w:val="ka-GE"/>
              </w:rPr>
              <w:t xml:space="preserve">  </w:t>
            </w:r>
            <w:r w:rsidRPr="0047274F">
              <w:rPr>
                <w:rFonts w:ascii="Sylfaen" w:hAnsi="Sylfaen" w:cs="Sylfaen"/>
                <w:b/>
                <w:lang w:val="ka-GE"/>
              </w:rPr>
              <w:t>საფასური</w:t>
            </w:r>
            <w:r w:rsidRPr="0047274F">
              <w:rPr>
                <w:rFonts w:cstheme="minorHAnsi"/>
                <w:b/>
                <w:lang w:val="ka-GE"/>
              </w:rPr>
              <w:t xml:space="preserve"> </w:t>
            </w:r>
            <w:r w:rsidRPr="0047274F">
              <w:rPr>
                <w:rFonts w:ascii="Sylfaen" w:hAnsi="Sylfaen" w:cs="Sylfaen"/>
                <w:b/>
                <w:lang w:val="ka-GE"/>
              </w:rPr>
              <w:t>განისაზღვრება</w:t>
            </w:r>
            <w:r w:rsidRPr="0047274F">
              <w:rPr>
                <w:rFonts w:cstheme="minorHAnsi"/>
                <w:b/>
                <w:lang w:val="ka-GE"/>
              </w:rPr>
              <w:t xml:space="preserve"> </w:t>
            </w:r>
            <w:r w:rsidRPr="0047274F">
              <w:rPr>
                <w:rFonts w:ascii="Sylfaen" w:hAnsi="Sylfaen" w:cs="Sylfaen"/>
                <w:b/>
                <w:lang w:val="ka-GE"/>
              </w:rPr>
              <w:t>აუქციონის</w:t>
            </w:r>
            <w:r w:rsidRPr="0047274F">
              <w:rPr>
                <w:rFonts w:cstheme="minorHAnsi"/>
                <w:b/>
                <w:lang w:val="ka-GE"/>
              </w:rPr>
              <w:t xml:space="preserve">  </w:t>
            </w:r>
            <w:r w:rsidRPr="0047274F">
              <w:rPr>
                <w:rFonts w:ascii="Sylfaen" w:hAnsi="Sylfaen" w:cs="Sylfaen"/>
                <w:b/>
                <w:lang w:val="ka-GE"/>
              </w:rPr>
              <w:t>დასრულების</w:t>
            </w:r>
            <w:r w:rsidRPr="0047274F">
              <w:rPr>
                <w:rFonts w:cstheme="minorHAnsi"/>
                <w:b/>
                <w:lang w:val="ka-GE"/>
              </w:rPr>
              <w:t xml:space="preserve">   </w:t>
            </w:r>
            <w:r w:rsidRPr="0047274F">
              <w:rPr>
                <w:rFonts w:ascii="Sylfaen" w:hAnsi="Sylfaen" w:cs="Sylfaen"/>
                <w:b/>
                <w:lang w:val="ka-GE"/>
              </w:rPr>
              <w:t>შემდეგ</w:t>
            </w:r>
            <w:r w:rsidRPr="0047274F">
              <w:rPr>
                <w:rFonts w:cstheme="minorHAnsi"/>
                <w:b/>
                <w:lang w:val="ka-GE"/>
              </w:rPr>
              <w:t xml:space="preserve">, </w:t>
            </w:r>
            <w:r w:rsidRPr="0047274F">
              <w:rPr>
                <w:rFonts w:ascii="Sylfaen" w:hAnsi="Sylfaen" w:cs="Sylfaen"/>
                <w:b/>
                <w:lang w:val="ka-GE"/>
              </w:rPr>
              <w:t>აუქციონის</w:t>
            </w:r>
            <w:r w:rsidRPr="0047274F">
              <w:rPr>
                <w:rFonts w:cstheme="minorHAnsi"/>
                <w:b/>
                <w:lang w:val="ka-GE"/>
              </w:rPr>
              <w:t xml:space="preserve"> </w:t>
            </w:r>
            <w:r w:rsidRPr="0047274F">
              <w:rPr>
                <w:rFonts w:ascii="Sylfaen" w:hAnsi="Sylfaen" w:cs="Sylfaen"/>
                <w:b/>
                <w:lang w:val="ka-GE"/>
              </w:rPr>
              <w:t>შედეგების</w:t>
            </w:r>
            <w:r w:rsidRPr="0047274F">
              <w:rPr>
                <w:rFonts w:cstheme="minorHAnsi"/>
                <w:b/>
                <w:lang w:val="ka-GE"/>
              </w:rPr>
              <w:t xml:space="preserve"> </w:t>
            </w:r>
            <w:r w:rsidRPr="0047274F">
              <w:rPr>
                <w:rFonts w:ascii="Sylfaen" w:hAnsi="Sylfaen" w:cs="Sylfaen"/>
                <w:b/>
                <w:lang w:val="ka-GE"/>
              </w:rPr>
              <w:t>შესაბამისად</w:t>
            </w:r>
            <w:r w:rsidRPr="0047274F">
              <w:rPr>
                <w:rFonts w:cstheme="minorHAnsi"/>
                <w:b/>
                <w:lang w:val="ka-GE"/>
              </w:rPr>
              <w:t xml:space="preserve">  </w:t>
            </w:r>
            <w:r w:rsidRPr="0047274F">
              <w:rPr>
                <w:rFonts w:ascii="Sylfaen" w:hAnsi="Sylfaen" w:cs="Sylfaen"/>
                <w:b/>
                <w:lang w:val="ka-GE"/>
              </w:rPr>
              <w:t>ერთეულის</w:t>
            </w:r>
            <w:r w:rsidRPr="0047274F">
              <w:rPr>
                <w:rFonts w:cstheme="minorHAnsi"/>
                <w:b/>
                <w:lang w:val="ka-GE"/>
              </w:rPr>
              <w:t xml:space="preserve">  </w:t>
            </w:r>
            <w:r w:rsidRPr="0047274F">
              <w:rPr>
                <w:rFonts w:ascii="Sylfaen" w:hAnsi="Sylfaen" w:cs="Sylfaen"/>
                <w:b/>
                <w:lang w:val="ka-GE"/>
              </w:rPr>
              <w:t>ღირებულებისა</w:t>
            </w:r>
            <w:r w:rsidRPr="0047274F">
              <w:rPr>
                <w:rFonts w:cstheme="minorHAnsi"/>
                <w:b/>
                <w:lang w:val="ka-GE"/>
              </w:rPr>
              <w:t xml:space="preserve"> </w:t>
            </w:r>
            <w:r w:rsidRPr="0047274F">
              <w:rPr>
                <w:rFonts w:ascii="Sylfaen" w:hAnsi="Sylfaen" w:cs="Sylfaen"/>
                <w:b/>
                <w:lang w:val="ka-GE"/>
              </w:rPr>
              <w:t>და</w:t>
            </w:r>
            <w:r w:rsidRPr="0047274F">
              <w:rPr>
                <w:rFonts w:cstheme="minorHAnsi"/>
                <w:b/>
                <w:lang w:val="ka-GE"/>
              </w:rPr>
              <w:t xml:space="preserve"> </w:t>
            </w:r>
            <w:r w:rsidRPr="0047274F">
              <w:rPr>
                <w:rFonts w:ascii="Sylfaen" w:hAnsi="Sylfaen" w:cs="Sylfaen"/>
                <w:b/>
                <w:lang w:val="ka-GE"/>
              </w:rPr>
              <w:t>დაზუსტებული</w:t>
            </w:r>
            <w:r w:rsidRPr="0047274F">
              <w:rPr>
                <w:rFonts w:cstheme="minorHAnsi"/>
                <w:b/>
                <w:lang w:val="ka-GE"/>
              </w:rPr>
              <w:t xml:space="preserve"> </w:t>
            </w:r>
            <w:r w:rsidRPr="0047274F">
              <w:rPr>
                <w:rFonts w:ascii="Sylfaen" w:hAnsi="Sylfaen" w:cs="Sylfaen"/>
                <w:b/>
                <w:lang w:val="ka-GE"/>
              </w:rPr>
              <w:t>წონის</w:t>
            </w:r>
            <w:r w:rsidRPr="0047274F">
              <w:rPr>
                <w:rFonts w:cstheme="minorHAnsi"/>
                <w:b/>
                <w:lang w:val="ka-GE"/>
              </w:rPr>
              <w:t xml:space="preserve"> </w:t>
            </w:r>
            <w:r w:rsidRPr="0047274F">
              <w:rPr>
                <w:rFonts w:ascii="Sylfaen" w:hAnsi="Sylfaen" w:cs="Sylfaen"/>
                <w:b/>
                <w:lang w:val="ka-GE"/>
              </w:rPr>
              <w:t>ნამრავლით</w:t>
            </w:r>
            <w:r w:rsidRPr="0047274F">
              <w:rPr>
                <w:rFonts w:cstheme="minorHAnsi"/>
                <w:b/>
                <w:lang w:val="ka-GE"/>
              </w:rPr>
              <w:t>.</w:t>
            </w:r>
          </w:p>
          <w:p w:rsidR="0047274F" w:rsidRPr="00E55B43" w:rsidRDefault="0047274F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F52361" w:rsidRPr="00D06145" w:rsidTr="00816C5D">
        <w:trPr>
          <w:trHeight w:val="930"/>
        </w:trPr>
        <w:tc>
          <w:tcPr>
            <w:tcW w:w="423" w:type="dxa"/>
          </w:tcPr>
          <w:p w:rsidR="00F52361" w:rsidRPr="00B173B1" w:rsidRDefault="00B173B1" w:rsidP="00F5236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2748" w:type="dxa"/>
          </w:tcPr>
          <w:p w:rsidR="00F52361" w:rsidRPr="00D06145" w:rsidRDefault="00F52361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ბიჯის სიდიდე</w:t>
            </w:r>
          </w:p>
        </w:tc>
        <w:tc>
          <w:tcPr>
            <w:tcW w:w="6739" w:type="dxa"/>
          </w:tcPr>
          <w:p w:rsidR="00F52361" w:rsidRPr="00D06145" w:rsidRDefault="009031FE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200</w:t>
            </w:r>
            <w:r w:rsidR="00F52361" w:rsidRPr="009031FE">
              <w:rPr>
                <w:rFonts w:ascii="Sylfaen" w:hAnsi="Sylfaen"/>
                <w:lang w:val="ka-GE"/>
              </w:rPr>
              <w:t xml:space="preserve"> (</w:t>
            </w:r>
            <w:r>
              <w:rPr>
                <w:rFonts w:ascii="Sylfaen" w:hAnsi="Sylfaen"/>
                <w:lang w:val="ka-GE"/>
              </w:rPr>
              <w:t>ორასი</w:t>
            </w:r>
            <w:r w:rsidR="00F52361" w:rsidRPr="009031FE">
              <w:rPr>
                <w:rFonts w:ascii="Sylfaen" w:hAnsi="Sylfaen"/>
                <w:lang w:val="ka-GE"/>
              </w:rPr>
              <w:t>) ლარი.</w:t>
            </w:r>
          </w:p>
        </w:tc>
      </w:tr>
      <w:tr w:rsidR="00F52361" w:rsidRPr="00D06145" w:rsidTr="00816C5D">
        <w:trPr>
          <w:trHeight w:val="930"/>
        </w:trPr>
        <w:tc>
          <w:tcPr>
            <w:tcW w:w="423" w:type="dxa"/>
          </w:tcPr>
          <w:p w:rsidR="00F52361" w:rsidRPr="00B173B1" w:rsidRDefault="00B173B1" w:rsidP="00F5236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2748" w:type="dxa"/>
          </w:tcPr>
          <w:p w:rsidR="00F52361" w:rsidRPr="00D06145" w:rsidRDefault="00F52361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უპირებო და გამოუხმობი საბანკო</w:t>
            </w:r>
            <w:r w:rsidR="00446B06" w:rsidRP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გარანტიის/ბეს თანხის ოდენობა</w:t>
            </w:r>
          </w:p>
        </w:tc>
        <w:tc>
          <w:tcPr>
            <w:tcW w:w="6739" w:type="dxa"/>
          </w:tcPr>
          <w:p w:rsidR="00F52361" w:rsidRPr="009031FE" w:rsidRDefault="009031FE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9031FE">
              <w:rPr>
                <w:rFonts w:ascii="Sylfaen" w:hAnsi="Sylfaen"/>
                <w:lang w:val="ka-GE"/>
              </w:rPr>
              <w:t>2000</w:t>
            </w:r>
            <w:r w:rsidR="00F52361" w:rsidRPr="009031FE">
              <w:rPr>
                <w:rFonts w:ascii="Sylfaen" w:hAnsi="Sylfaen"/>
                <w:lang w:val="ka-GE"/>
              </w:rPr>
              <w:t xml:space="preserve"> (</w:t>
            </w:r>
            <w:r w:rsidRPr="009031FE">
              <w:rPr>
                <w:rFonts w:ascii="Sylfaen" w:hAnsi="Sylfaen"/>
                <w:lang w:val="ka-GE"/>
              </w:rPr>
              <w:t>ორი ათასი</w:t>
            </w:r>
            <w:r w:rsidR="00F52361" w:rsidRPr="009031FE">
              <w:rPr>
                <w:rFonts w:ascii="Sylfaen" w:hAnsi="Sylfaen"/>
                <w:lang w:val="ka-GE"/>
              </w:rPr>
              <w:t>) ლარი</w:t>
            </w:r>
          </w:p>
        </w:tc>
      </w:tr>
      <w:tr w:rsidR="00F52361" w:rsidRPr="00D06145" w:rsidTr="00816C5D">
        <w:trPr>
          <w:trHeight w:val="930"/>
        </w:trPr>
        <w:tc>
          <w:tcPr>
            <w:tcW w:w="423" w:type="dxa"/>
          </w:tcPr>
          <w:p w:rsidR="00F52361" w:rsidRPr="00B173B1" w:rsidRDefault="00B173B1" w:rsidP="00F5236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748" w:type="dxa"/>
          </w:tcPr>
          <w:p w:rsidR="00F52361" w:rsidRPr="00D06145" w:rsidRDefault="00F52361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ფოტო სურათების რაოდენობა</w:t>
            </w:r>
          </w:p>
        </w:tc>
        <w:tc>
          <w:tcPr>
            <w:tcW w:w="6739" w:type="dxa"/>
          </w:tcPr>
          <w:p w:rsidR="00F52361" w:rsidRPr="00D06145" w:rsidRDefault="00392966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392966">
              <w:rPr>
                <w:rFonts w:ascii="Sylfaen" w:hAnsi="Sylfaen"/>
                <w:lang w:val="ka-GE"/>
              </w:rPr>
              <w:t>16</w:t>
            </w:r>
            <w:r w:rsidR="00F52361" w:rsidRPr="00392966">
              <w:rPr>
                <w:rFonts w:ascii="Sylfaen" w:hAnsi="Sylfaen"/>
                <w:lang w:val="ka-GE"/>
              </w:rPr>
              <w:t xml:space="preserve"> (</w:t>
            </w:r>
            <w:r w:rsidRPr="00392966">
              <w:rPr>
                <w:rFonts w:ascii="Sylfaen" w:hAnsi="Sylfaen"/>
                <w:lang w:val="ka-GE"/>
              </w:rPr>
              <w:t>თექვსმეტი</w:t>
            </w:r>
            <w:r w:rsidR="00F52361" w:rsidRPr="00392966">
              <w:rPr>
                <w:rFonts w:ascii="Sylfaen" w:hAnsi="Sylfaen"/>
                <w:lang w:val="ka-GE"/>
              </w:rPr>
              <w:t>) ფოტო სურათი</w:t>
            </w:r>
          </w:p>
        </w:tc>
      </w:tr>
      <w:tr w:rsidR="00F52361" w:rsidRPr="00D06145" w:rsidTr="00816C5D">
        <w:trPr>
          <w:trHeight w:val="930"/>
        </w:trPr>
        <w:tc>
          <w:tcPr>
            <w:tcW w:w="423" w:type="dxa"/>
          </w:tcPr>
          <w:p w:rsidR="00F52361" w:rsidRPr="00B173B1" w:rsidRDefault="00B173B1" w:rsidP="00F5236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2748" w:type="dxa"/>
          </w:tcPr>
          <w:p w:rsidR="00F52361" w:rsidRPr="00D06145" w:rsidRDefault="00F52361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 xml:space="preserve">ინფორმაცია </w:t>
            </w:r>
            <w:r w:rsidR="0047274F">
              <w:rPr>
                <w:rFonts w:ascii="Sylfaen" w:hAnsi="Sylfaen"/>
                <w:lang w:val="ka-GE"/>
              </w:rPr>
              <w:t>ჯართის</w:t>
            </w:r>
            <w:r w:rsidRPr="00D06145">
              <w:rPr>
                <w:rFonts w:ascii="Sylfaen" w:hAnsi="Sylfaen"/>
                <w:lang w:val="ka-GE"/>
              </w:rPr>
              <w:t xml:space="preserve"> შესახებ</w:t>
            </w:r>
          </w:p>
          <w:p w:rsidR="00F52361" w:rsidRPr="00D06145" w:rsidRDefault="00F52361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6739" w:type="dxa"/>
          </w:tcPr>
          <w:p w:rsidR="00F52361" w:rsidRPr="00D06145" w:rsidRDefault="0047274F" w:rsidP="00615623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შავი ლითონის ჯართი </w:t>
            </w:r>
            <w:r w:rsidR="00615623">
              <w:rPr>
                <w:rFonts w:ascii="Sylfaen" w:hAnsi="Sylfaen"/>
                <w:lang w:val="ka-GE"/>
              </w:rPr>
              <w:t xml:space="preserve">წარმოადგენს </w:t>
            </w:r>
            <w:r>
              <w:rPr>
                <w:rFonts w:ascii="Sylfaen" w:hAnsi="Sylfaen"/>
                <w:lang w:val="ka-GE"/>
              </w:rPr>
              <w:t xml:space="preserve"> ექსპლოატაციისათვის </w:t>
            </w:r>
            <w:r w:rsidR="00615623">
              <w:rPr>
                <w:rFonts w:ascii="Sylfaen" w:hAnsi="Sylfaen"/>
                <w:lang w:val="ka-GE"/>
              </w:rPr>
              <w:t>გამოუსადეგარ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615623">
              <w:rPr>
                <w:rFonts w:ascii="Sylfaen" w:hAnsi="Sylfaen"/>
                <w:lang w:val="ka-GE"/>
              </w:rPr>
              <w:t>გაზის მრიცხველებ</w:t>
            </w:r>
            <w:r w:rsidR="009031FE">
              <w:rPr>
                <w:rFonts w:ascii="Sylfaen" w:hAnsi="Sylfaen"/>
                <w:lang w:val="ka-GE"/>
              </w:rPr>
              <w:t>ს</w:t>
            </w:r>
            <w:r w:rsidR="00615623">
              <w:rPr>
                <w:rFonts w:ascii="Sylfaen" w:hAnsi="Sylfaen"/>
                <w:lang w:val="ka-GE"/>
              </w:rPr>
              <w:t>.</w:t>
            </w:r>
            <w:r w:rsidR="009031FE">
              <w:rPr>
                <w:rFonts w:ascii="Sylfaen" w:hAnsi="Sylfaen"/>
                <w:lang w:val="ka-GE"/>
              </w:rPr>
              <w:t xml:space="preserve"> </w:t>
            </w:r>
            <w:r w:rsidR="00615623">
              <w:rPr>
                <w:rFonts w:ascii="Sylfaen" w:hAnsi="Sylfaen"/>
                <w:lang w:val="ka-GE"/>
              </w:rPr>
              <w:t>მრიცხველები</w:t>
            </w:r>
            <w:r w:rsidR="009031FE">
              <w:rPr>
                <w:rFonts w:ascii="Sylfaen" w:hAnsi="Sylfaen"/>
                <w:lang w:val="ka-GE"/>
              </w:rPr>
              <w:t xml:space="preserve"> </w:t>
            </w:r>
            <w:r w:rsidR="00615623">
              <w:rPr>
                <w:rFonts w:ascii="Sylfaen" w:hAnsi="Sylfaen"/>
                <w:lang w:val="ka-GE"/>
              </w:rPr>
              <w:t xml:space="preserve">ასევე </w:t>
            </w:r>
            <w:r w:rsidR="009031FE">
              <w:rPr>
                <w:rFonts w:ascii="Sylfaen" w:hAnsi="Sylfaen"/>
                <w:lang w:val="ka-GE"/>
              </w:rPr>
              <w:t>მოიცავს პლას</w:t>
            </w:r>
            <w:r w:rsidR="00615623">
              <w:rPr>
                <w:rFonts w:ascii="Sylfaen" w:hAnsi="Sylfaen"/>
                <w:lang w:val="ka-GE"/>
              </w:rPr>
              <w:t>ტ</w:t>
            </w:r>
            <w:r w:rsidR="009031FE">
              <w:rPr>
                <w:rFonts w:ascii="Sylfaen" w:hAnsi="Sylfaen"/>
                <w:lang w:val="ka-GE"/>
              </w:rPr>
              <w:t>მასის შემცვლელ ელემენტებს</w:t>
            </w:r>
            <w:r w:rsidR="00615623">
              <w:rPr>
                <w:rFonts w:ascii="Sylfaen" w:hAnsi="Sylfaen"/>
                <w:lang w:val="ka-GE"/>
              </w:rPr>
              <w:t xml:space="preserve"> და სათადარიგო ნაწილებს.</w:t>
            </w:r>
          </w:p>
        </w:tc>
      </w:tr>
      <w:tr w:rsidR="00812E63" w:rsidRPr="00D06145" w:rsidTr="00816C5D">
        <w:trPr>
          <w:trHeight w:val="1331"/>
        </w:trPr>
        <w:tc>
          <w:tcPr>
            <w:tcW w:w="423" w:type="dxa"/>
          </w:tcPr>
          <w:p w:rsidR="00812E63" w:rsidRDefault="00C374BF" w:rsidP="00F5236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12</w:t>
            </w:r>
          </w:p>
        </w:tc>
        <w:tc>
          <w:tcPr>
            <w:tcW w:w="2748" w:type="dxa"/>
          </w:tcPr>
          <w:p w:rsidR="00812E63" w:rsidRPr="00D06145" w:rsidRDefault="00812E63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განთავსების ხანგრძლივობა</w:t>
            </w:r>
          </w:p>
        </w:tc>
        <w:tc>
          <w:tcPr>
            <w:tcW w:w="6739" w:type="dxa"/>
          </w:tcPr>
          <w:p w:rsidR="00812E63" w:rsidRPr="00D06145" w:rsidRDefault="00F3635F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 w:rsidRPr="003D5925">
              <w:rPr>
                <w:rFonts w:ascii="Sylfaen" w:hAnsi="Sylfaen"/>
                <w:lang w:val="ka-GE"/>
              </w:rPr>
              <w:t xml:space="preserve">4 </w:t>
            </w:r>
            <w:r w:rsidR="00812E63" w:rsidRPr="003D5925">
              <w:rPr>
                <w:rFonts w:ascii="Sylfaen" w:hAnsi="Sylfaen"/>
                <w:lang w:val="ka-GE"/>
              </w:rPr>
              <w:t>(კალენდარული დღე)</w:t>
            </w:r>
            <w:bookmarkStart w:id="0" w:name="_GoBack"/>
            <w:bookmarkEnd w:id="0"/>
          </w:p>
        </w:tc>
      </w:tr>
      <w:tr w:rsidR="00F52361" w:rsidRPr="00D06145" w:rsidTr="00816C5D">
        <w:trPr>
          <w:trHeight w:val="1331"/>
        </w:trPr>
        <w:tc>
          <w:tcPr>
            <w:tcW w:w="423" w:type="dxa"/>
          </w:tcPr>
          <w:p w:rsidR="00F52361" w:rsidRPr="00B173B1" w:rsidRDefault="00C374BF" w:rsidP="00F5236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2748" w:type="dxa"/>
          </w:tcPr>
          <w:p w:rsidR="00F52361" w:rsidRPr="00D06145" w:rsidRDefault="00655122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საბანკო რეკვიზიტები</w:t>
            </w:r>
          </w:p>
        </w:tc>
        <w:tc>
          <w:tcPr>
            <w:tcW w:w="6739" w:type="dxa"/>
          </w:tcPr>
          <w:p w:rsidR="00F52361" w:rsidRPr="00D06145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 xml:space="preserve">სს </w:t>
            </w:r>
            <w:r w:rsidR="00816C5D">
              <w:rPr>
                <w:rFonts w:ascii="Sylfaen" w:hAnsi="Sylfaen"/>
                <w:lang w:val="ka-GE"/>
              </w:rPr>
              <w:t>,,</w:t>
            </w:r>
            <w:r w:rsidRPr="00D06145">
              <w:rPr>
                <w:rFonts w:ascii="Sylfaen" w:hAnsi="Sylfaen"/>
                <w:lang w:val="ka-GE"/>
              </w:rPr>
              <w:t>საქართველოს ბანკი</w:t>
            </w:r>
            <w:r w:rsidR="00816C5D">
              <w:rPr>
                <w:rFonts w:ascii="Sylfaen" w:hAnsi="Sylfaen"/>
                <w:lang w:val="ka-GE"/>
              </w:rPr>
              <w:t>’’</w:t>
            </w:r>
          </w:p>
          <w:p w:rsidR="00816C5D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ბანკის კოდი: BAGAGE22</w:t>
            </w:r>
            <w:r w:rsidR="00816C5D">
              <w:rPr>
                <w:rFonts w:ascii="Sylfaen" w:hAnsi="Sylfaen"/>
                <w:lang w:val="ka-GE"/>
              </w:rPr>
              <w:t xml:space="preserve">       </w:t>
            </w:r>
          </w:p>
          <w:p w:rsidR="00F52361" w:rsidRPr="00D06145" w:rsidRDefault="00816C5D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ა/ა GE35BG0000000233446200</w:t>
            </w:r>
          </w:p>
          <w:p w:rsidR="00F52361" w:rsidRPr="00D06145" w:rsidRDefault="00F52361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52361" w:rsidRPr="00D06145" w:rsidTr="002F2009">
        <w:trPr>
          <w:trHeight w:val="701"/>
        </w:trPr>
        <w:tc>
          <w:tcPr>
            <w:tcW w:w="423" w:type="dxa"/>
          </w:tcPr>
          <w:p w:rsidR="00F52361" w:rsidRPr="00B173B1" w:rsidRDefault="00C374BF" w:rsidP="00F5236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2748" w:type="dxa"/>
          </w:tcPr>
          <w:p w:rsidR="00D06145" w:rsidRDefault="00D06145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</w:p>
          <w:p w:rsidR="00D06145" w:rsidRDefault="00D06145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</w:p>
          <w:p w:rsidR="00D06145" w:rsidRDefault="00D06145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</w:p>
          <w:p w:rsidR="00D06145" w:rsidRDefault="00D06145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</w:p>
          <w:p w:rsidR="00D06145" w:rsidRDefault="00D06145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</w:p>
          <w:p w:rsidR="00D06145" w:rsidRDefault="00D06145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</w:p>
          <w:p w:rsidR="00F52361" w:rsidRPr="00D06145" w:rsidRDefault="00F52361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დამატებითი ინფორმაცია</w:t>
            </w:r>
          </w:p>
        </w:tc>
        <w:tc>
          <w:tcPr>
            <w:tcW w:w="6739" w:type="dxa"/>
          </w:tcPr>
          <w:p w:rsidR="0047274F" w:rsidRDefault="0047274F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ჯართის ზუსტი წონა დაუზუსტებელია. გამარჯვებული ვალდებულია, შპს ,,სოკარ ჯორჯია გაზი’’-ს უფლებამოსილ წარმომადგენეთან ერთად დააზუსტოს ჯართის წონა.</w:t>
            </w:r>
          </w:p>
          <w:p w:rsidR="0047274F" w:rsidRPr="0047274F" w:rsidRDefault="0047274F" w:rsidP="0047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ჯართის წონის დაზუსტების ხარჯები ეკისრება აუქციონში გამარჯვებულს.</w:t>
            </w:r>
          </w:p>
          <w:p w:rsidR="0047274F" w:rsidRPr="0047274F" w:rsidRDefault="00F52361" w:rsidP="0047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აუქციონში  გამარჯვებულთან</w:t>
            </w:r>
            <w:r w:rsidRPr="00D06145">
              <w:rPr>
                <w:rFonts w:ascii="Sylfaen" w:hAnsi="Sylfaen"/>
                <w:lang w:val="ka-GE"/>
              </w:rPr>
              <w:tab/>
            </w:r>
            <w:r w:rsidR="00CD30BF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 xml:space="preserve">ნასყიდობის  ხელშეკრულება  გაფორმდება აუქციონში გამარჯვებულად გამოცხადებიდან 10 </w:t>
            </w:r>
            <w:r w:rsidR="00446B06" w:rsidRP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დღის განმავლობაში.</w:t>
            </w:r>
          </w:p>
          <w:p w:rsidR="00F52361" w:rsidRPr="00D06145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გამომდინარე იქიდან, რომ აუქციონში გამარჯვებული (მყიდველი)</w:t>
            </w:r>
            <w:r w:rsidR="0047274F">
              <w:rPr>
                <w:rFonts w:ascii="Sylfaen" w:hAnsi="Sylfaen"/>
                <w:lang w:val="ka-GE"/>
              </w:rPr>
              <w:t xml:space="preserve"> შავი ლითონის ჯართს იღებს იმ სახით</w:t>
            </w:r>
            <w:r w:rsidR="00DC6010">
              <w:rPr>
                <w:rFonts w:ascii="Sylfaen" w:hAnsi="Sylfaen"/>
                <w:lang w:val="ka-GE"/>
              </w:rPr>
              <w:t>,</w:t>
            </w:r>
            <w:r w:rsidRPr="00D06145">
              <w:rPr>
                <w:rFonts w:ascii="Sylfaen" w:hAnsi="Sylfaen"/>
                <w:lang w:val="ka-GE"/>
              </w:rPr>
              <w:t xml:space="preserve"> რა სახითაც ის არის წარმოდგენილი ხელშეკრულების ხელმოწერის დღეს, </w:t>
            </w:r>
            <w:r w:rsidR="00446B06" w:rsidRP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 xml:space="preserve">გამარჯვებული (მყიდველი) უარს ამბობს გამყიდველის მიმართ </w:t>
            </w:r>
            <w:r w:rsidR="00446B06" w:rsidRP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 xml:space="preserve">ქონებრივი ან სხვა სახის ზიანის ანაზღაურებაზე, ასევე ყოველგვარ </w:t>
            </w:r>
            <w:r w:rsidR="00446B06" w:rsidRP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მოთხოვნაზე, საჩივარზე და სარჩელზე.</w:t>
            </w:r>
          </w:p>
          <w:p w:rsidR="00F52361" w:rsidRPr="00D06145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 xml:space="preserve">აუქციონში   გამარჯვებულს   (მყიდველს)   </w:t>
            </w:r>
            <w:r w:rsidR="00DC6010">
              <w:rPr>
                <w:rFonts w:ascii="Sylfaen" w:hAnsi="Sylfaen"/>
                <w:lang w:val="ka-GE"/>
              </w:rPr>
              <w:t>ჯართზე</w:t>
            </w:r>
            <w:r w:rsidRPr="00D06145">
              <w:rPr>
                <w:rFonts w:ascii="Sylfaen" w:hAnsi="Sylfaen"/>
                <w:lang w:val="ka-GE"/>
              </w:rPr>
              <w:t xml:space="preserve">   საკუთრების   უფლება გადაეცემა, ნასყიდობის </w:t>
            </w:r>
            <w:r w:rsidR="00446B06" w:rsidRP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საფასურის სრულად გადახდის მომენტიდან.</w:t>
            </w:r>
          </w:p>
          <w:p w:rsidR="00F52361" w:rsidRPr="00D06145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 xml:space="preserve">გამარჯვებული ვალდებულია თანხის გადახდიდან მაქსიმუმ 10 </w:t>
            </w:r>
            <w:r w:rsidR="00446B06" w:rsidRP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დღის ვადაში გაიტანოს</w:t>
            </w:r>
            <w:r w:rsidR="00DC6010">
              <w:rPr>
                <w:rFonts w:ascii="Sylfaen" w:hAnsi="Sylfaen"/>
                <w:lang w:val="ka-GE"/>
              </w:rPr>
              <w:t xml:space="preserve"> ლითონის ჯართი</w:t>
            </w:r>
            <w:r w:rsidRPr="00D06145">
              <w:rPr>
                <w:rFonts w:ascii="Sylfaen" w:hAnsi="Sylfaen"/>
                <w:lang w:val="ka-GE"/>
              </w:rPr>
              <w:t xml:space="preserve"> </w:t>
            </w:r>
            <w:r w:rsidR="00446B06" w:rsidRP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ტერიტორიიდან.</w:t>
            </w:r>
            <w:r w:rsidR="00DC6010">
              <w:rPr>
                <w:rFonts w:ascii="Sylfaen" w:hAnsi="Sylfaen"/>
                <w:lang w:val="ka-GE"/>
              </w:rPr>
              <w:t xml:space="preserve"> ჯართის წონის დაზუსტებისა და მიღება-ჩაბარების აქტის გაფორმების შემდეგ, ჯართის შენახვის პასუხისმგებლობა ეკისრება აუქციონში გამარჯვებულს.</w:t>
            </w:r>
          </w:p>
          <w:p w:rsidR="00F52361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 xml:space="preserve">თანხის გადახდა შესაძლებელია   ხელშეკრულების </w:t>
            </w:r>
            <w:r w:rsidR="00446B06" w:rsidRP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 xml:space="preserve">გაფორმებიდან 10 დღის განმავლობაში,   გამარჯვებული ვალდებულია გადაიხადოს </w:t>
            </w:r>
            <w:r w:rsidR="00DC6010">
              <w:rPr>
                <w:rFonts w:ascii="Sylfaen" w:hAnsi="Sylfaen"/>
                <w:lang w:val="ka-GE"/>
              </w:rPr>
              <w:t xml:space="preserve">მხარეების მიერ დაზუსტებული ჯართის </w:t>
            </w:r>
            <w:r w:rsidRPr="00D06145">
              <w:rPr>
                <w:rFonts w:ascii="Sylfaen" w:hAnsi="Sylfaen"/>
                <w:lang w:val="ka-GE"/>
              </w:rPr>
              <w:t>საფასური რაზეც განხორციელდება მიღება-ჩაბარება.</w:t>
            </w:r>
          </w:p>
          <w:p w:rsidR="00DC6010" w:rsidRDefault="00DC6010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ჯართის </w:t>
            </w:r>
            <w:r w:rsidR="00904625">
              <w:rPr>
                <w:rFonts w:ascii="Sylfaen" w:hAnsi="Sylfaen"/>
                <w:lang w:val="ka-GE"/>
              </w:rPr>
              <w:t xml:space="preserve"> </w:t>
            </w:r>
            <w:r w:rsidR="002F2009">
              <w:rPr>
                <w:rFonts w:ascii="Sylfaen" w:hAnsi="Sylfaen"/>
                <w:lang w:val="ka-GE"/>
              </w:rPr>
              <w:t xml:space="preserve"> ტრანსპორტირებისა და სხვა მასთან დაკავშირებულ ნების მიერ ხარჯს უზრუნველყოფს აუქციონში გამარჯვებული (მყიდველი)</w:t>
            </w:r>
          </w:p>
          <w:p w:rsidR="002F2009" w:rsidRPr="00D06145" w:rsidRDefault="002F2009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მყიდველის მიერ შავი ლითონის ჯართის გატანის სამუშაოები უნდა შესრულდეს უსაფრთხოების ნორმებისა </w:t>
            </w:r>
            <w:r>
              <w:rPr>
                <w:rFonts w:ascii="Sylfaen" w:hAnsi="Sylfaen"/>
                <w:lang w:val="ka-GE"/>
              </w:rPr>
              <w:lastRenderedPageBreak/>
              <w:t>და საქართველოს კანონმდებლობით დადგენილი სტანდარტების დაცვით.</w:t>
            </w:r>
          </w:p>
          <w:p w:rsidR="00F52361" w:rsidRPr="00D06145" w:rsidRDefault="00F52361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52361" w:rsidRPr="00D06145" w:rsidTr="00816C5D">
        <w:trPr>
          <w:trHeight w:val="1457"/>
        </w:trPr>
        <w:tc>
          <w:tcPr>
            <w:tcW w:w="423" w:type="dxa"/>
          </w:tcPr>
          <w:p w:rsidR="00F52361" w:rsidRPr="00B173B1" w:rsidRDefault="00C374BF" w:rsidP="00F5236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15</w:t>
            </w:r>
          </w:p>
        </w:tc>
        <w:tc>
          <w:tcPr>
            <w:tcW w:w="2748" w:type="dxa"/>
          </w:tcPr>
          <w:p w:rsidR="00F52361" w:rsidRPr="00D06145" w:rsidRDefault="00F52361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პასუხისმგებლობა სააუქციონო</w:t>
            </w:r>
            <w:r w:rsid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და</w:t>
            </w:r>
            <w:r w:rsid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სახელშეკრულებო პირობების</w:t>
            </w:r>
            <w:r w:rsid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დარღვევისათვის</w:t>
            </w:r>
          </w:p>
          <w:p w:rsidR="00F52361" w:rsidRPr="00D06145" w:rsidRDefault="00F52361" w:rsidP="00D06145">
            <w:pPr>
              <w:spacing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6739" w:type="dxa"/>
          </w:tcPr>
          <w:p w:rsidR="00F52361" w:rsidRPr="00D06145" w:rsidRDefault="00F52361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D06145">
              <w:rPr>
                <w:rFonts w:ascii="Sylfaen" w:hAnsi="Sylfaen"/>
                <w:lang w:val="ka-GE"/>
              </w:rPr>
              <w:t>აუქციონში</w:t>
            </w:r>
            <w:r w:rsid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გამარჯვებულს</w:t>
            </w:r>
            <w:r w:rsid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ხელშეკრულებით</w:t>
            </w:r>
            <w:r w:rsid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ნაკისრი</w:t>
            </w:r>
            <w:r w:rsidRPr="00D06145">
              <w:rPr>
                <w:rFonts w:ascii="Sylfaen" w:hAnsi="Sylfaen"/>
                <w:lang w:val="ka-GE"/>
              </w:rPr>
              <w:tab/>
              <w:t xml:space="preserve">  ვალდებულების დარღვევის   გამო</w:t>
            </w:r>
            <w:r w:rsidRPr="00D06145">
              <w:rPr>
                <w:rFonts w:ascii="Sylfaen" w:hAnsi="Sylfaen"/>
                <w:lang w:val="ka-GE"/>
              </w:rPr>
              <w:tab/>
              <w:t>დაეკისრება</w:t>
            </w:r>
            <w:r w:rsidRPr="00D06145">
              <w:rPr>
                <w:rFonts w:ascii="Sylfaen" w:hAnsi="Sylfaen"/>
                <w:lang w:val="ka-GE"/>
              </w:rPr>
              <w:tab/>
            </w:r>
            <w:r w:rsidR="00446B06" w:rsidRP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 xml:space="preserve">პირგასამტეხლო ხელშეკრულების ღირებულების 0,1 % ყოველ </w:t>
            </w:r>
            <w:r w:rsidR="00446B06" w:rsidRPr="00D06145">
              <w:rPr>
                <w:rFonts w:ascii="Sylfaen" w:hAnsi="Sylfaen"/>
                <w:lang w:val="ka-GE"/>
              </w:rPr>
              <w:t xml:space="preserve"> </w:t>
            </w:r>
            <w:r w:rsidRPr="00D06145">
              <w:rPr>
                <w:rFonts w:ascii="Sylfaen" w:hAnsi="Sylfaen"/>
                <w:lang w:val="ka-GE"/>
              </w:rPr>
              <w:t>ვადაგადაცილებულ დღეზე.</w:t>
            </w:r>
          </w:p>
          <w:p w:rsidR="00F52361" w:rsidRPr="00D06145" w:rsidRDefault="00F52361" w:rsidP="00D06145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6A1A07" w:rsidRPr="00D06145" w:rsidRDefault="006A1A07" w:rsidP="002835B3">
      <w:pPr>
        <w:jc w:val="both"/>
      </w:pPr>
    </w:p>
    <w:sectPr w:rsidR="006A1A07" w:rsidRPr="00D06145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FA" w:rsidRDefault="00FC2EFA" w:rsidP="002835B3">
      <w:pPr>
        <w:spacing w:after="0" w:line="240" w:lineRule="auto"/>
      </w:pPr>
      <w:r>
        <w:separator/>
      </w:r>
    </w:p>
  </w:endnote>
  <w:endnote w:type="continuationSeparator" w:id="0">
    <w:p w:rsidR="00FC2EFA" w:rsidRDefault="00FC2EFA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FA" w:rsidRDefault="00FC2EFA" w:rsidP="002835B3">
      <w:pPr>
        <w:spacing w:after="0" w:line="240" w:lineRule="auto"/>
      </w:pPr>
      <w:r>
        <w:separator/>
      </w:r>
    </w:p>
  </w:footnote>
  <w:footnote w:type="continuationSeparator" w:id="0">
    <w:p w:rsidR="00FC2EFA" w:rsidRDefault="00FC2EFA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5F"/>
    <w:rsid w:val="00004745"/>
    <w:rsid w:val="000A1A14"/>
    <w:rsid w:val="000B1DD3"/>
    <w:rsid w:val="001624A0"/>
    <w:rsid w:val="001E6CA0"/>
    <w:rsid w:val="002835B3"/>
    <w:rsid w:val="002C1C12"/>
    <w:rsid w:val="002F2009"/>
    <w:rsid w:val="00392966"/>
    <w:rsid w:val="003D5925"/>
    <w:rsid w:val="00446B06"/>
    <w:rsid w:val="00456E80"/>
    <w:rsid w:val="0047274F"/>
    <w:rsid w:val="004D51E7"/>
    <w:rsid w:val="005B0344"/>
    <w:rsid w:val="00615623"/>
    <w:rsid w:val="00655122"/>
    <w:rsid w:val="006A1A07"/>
    <w:rsid w:val="006B295F"/>
    <w:rsid w:val="00721CA6"/>
    <w:rsid w:val="00812E63"/>
    <w:rsid w:val="00816C5D"/>
    <w:rsid w:val="00821913"/>
    <w:rsid w:val="009031FE"/>
    <w:rsid w:val="00904625"/>
    <w:rsid w:val="00B173B1"/>
    <w:rsid w:val="00C374BF"/>
    <w:rsid w:val="00CD30BF"/>
    <w:rsid w:val="00D06145"/>
    <w:rsid w:val="00DA6697"/>
    <w:rsid w:val="00DC6010"/>
    <w:rsid w:val="00E55B43"/>
    <w:rsid w:val="00F3635F"/>
    <w:rsid w:val="00F52361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Davit Gegeshidze</cp:lastModifiedBy>
  <cp:revision>39</cp:revision>
  <dcterms:created xsi:type="dcterms:W3CDTF">2020-01-15T09:13:00Z</dcterms:created>
  <dcterms:modified xsi:type="dcterms:W3CDTF">2020-06-19T11:02:00Z</dcterms:modified>
</cp:coreProperties>
</file>