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7B" w:rsidRDefault="00D21CE2" w:rsidP="00F0484F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იჯარის ხელშეკრულება N1</w:t>
      </w:r>
    </w:p>
    <w:p w:rsidR="00D21CE2" w:rsidRDefault="00D21CE2" w:rsidP="00D21CE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თბილისი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         </w:t>
      </w:r>
      <w:r w:rsidR="001B1FEE">
        <w:rPr>
          <w:rFonts w:ascii="Sylfaen" w:hAnsi="Sylfaen"/>
          <w:lang w:val="ka-GE"/>
        </w:rPr>
        <w:softHyphen/>
      </w:r>
      <w:r w:rsidR="001B1FEE">
        <w:rPr>
          <w:rFonts w:ascii="Sylfaen" w:hAnsi="Sylfaen"/>
        </w:rPr>
        <w:t>_</w:t>
      </w:r>
      <w:r w:rsidR="006E08E3">
        <w:rPr>
          <w:rFonts w:ascii="Sylfaen" w:hAnsi="Sylfaen"/>
          <w:lang w:val="ka-GE"/>
        </w:rPr>
        <w:t>.1.2021</w:t>
      </w:r>
      <w:bookmarkStart w:id="0" w:name="_GoBack"/>
      <w:bookmarkEnd w:id="0"/>
    </w:p>
    <w:p w:rsidR="00D21CE2" w:rsidRDefault="00D21CE2" w:rsidP="00D21CE2">
      <w:pPr>
        <w:jc w:val="both"/>
        <w:rPr>
          <w:rFonts w:ascii="Sylfaen" w:hAnsi="Sylfaen"/>
          <w:lang w:val="ka-GE"/>
        </w:rPr>
      </w:pPr>
    </w:p>
    <w:p w:rsidR="00D21CE2" w:rsidRDefault="00D21CE2" w:rsidP="00D21CE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ერთის მხრივ, საქართველოს ეროვნული მუზეუმი ( საიდენ. კოდი: 204468664) (შემდგომში - „მეიჯარე“), წარმოდგენილი ირაკლი ღვალაძის მიერ და მეორეს მხრივ, ______ (საიდ. კოდი: ) (ორივე ერთად „მხარეები“), </w:t>
      </w:r>
      <w:r w:rsidR="0058728E">
        <w:rPr>
          <w:rFonts w:ascii="Sylfaen" w:hAnsi="Sylfaen"/>
          <w:lang w:val="ka-GE"/>
        </w:rPr>
        <w:t>საქართვ</w:t>
      </w:r>
      <w:r>
        <w:rPr>
          <w:rFonts w:ascii="Sylfaen" w:hAnsi="Sylfaen"/>
          <w:lang w:val="ka-GE"/>
        </w:rPr>
        <w:t>ელოს კანონის „სახელმწიფო ქონების შესახებ“, „სახელმწიფო ქონების განკარგვისას და სარგებლობით უფლების გადაცემის ელექტრონული აუქციონის ჩატარების წესის დამტკციების შესახებ“ საქართველოს ეკონომიკისა და</w:t>
      </w:r>
      <w:r w:rsidR="0058728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მდგრადი განვითარების სამინისტროს 2011 წლის 10 თებრვლის N1-1/172 ბრძანებისა და საქართველოს ეროვნული მუზეუმის მიერ პირობებით გამოცხადებული ელექტრონული აუქციონის </w:t>
      </w:r>
      <w:r w:rsidR="0058728E">
        <w:rPr>
          <w:rFonts w:ascii="Sylfaen" w:hAnsi="Sylfaen"/>
          <w:lang w:val="ka-GE"/>
        </w:rPr>
        <w:t xml:space="preserve">_____ </w:t>
      </w:r>
      <w:r>
        <w:rPr>
          <w:rFonts w:ascii="Sylfaen" w:hAnsi="Sylfaen"/>
          <w:lang w:val="ka-GE"/>
        </w:rPr>
        <w:t xml:space="preserve">წლის შედეგების საფუძველბზე ვდებთ წინამდებარე ხელშეკრულებას (შემდგომში -ხელშეკრულება) და ვთანხმდებით შემდეგზე: </w:t>
      </w:r>
    </w:p>
    <w:p w:rsidR="00D21CE2" w:rsidRDefault="00D21CE2" w:rsidP="00D21CE2">
      <w:pPr>
        <w:jc w:val="both"/>
        <w:rPr>
          <w:rFonts w:ascii="Sylfaen" w:hAnsi="Sylfaen"/>
          <w:lang w:val="ka-GE"/>
        </w:rPr>
      </w:pPr>
    </w:p>
    <w:p w:rsidR="00D45C3B" w:rsidRPr="001F02E2" w:rsidRDefault="00D21CE2" w:rsidP="00D45C3B">
      <w:pPr>
        <w:pStyle w:val="ListParagraph"/>
        <w:numPr>
          <w:ilvl w:val="0"/>
          <w:numId w:val="1"/>
        </w:numPr>
        <w:jc w:val="center"/>
        <w:rPr>
          <w:rFonts w:ascii="Sylfaen" w:hAnsi="Sylfaen"/>
          <w:b/>
          <w:lang w:val="ka-GE"/>
        </w:rPr>
      </w:pPr>
      <w:r w:rsidRPr="001F02E2">
        <w:rPr>
          <w:rFonts w:ascii="Sylfaen" w:hAnsi="Sylfaen"/>
          <w:b/>
          <w:lang w:val="ka-GE"/>
        </w:rPr>
        <w:t xml:space="preserve">ხელშეკრულების </w:t>
      </w:r>
      <w:r w:rsidR="00D45C3B" w:rsidRPr="001F02E2">
        <w:rPr>
          <w:rFonts w:ascii="Sylfaen" w:hAnsi="Sylfaen"/>
          <w:b/>
          <w:lang w:val="ka-GE"/>
        </w:rPr>
        <w:t>საგანი</w:t>
      </w:r>
    </w:p>
    <w:p w:rsidR="00D45C3B" w:rsidRDefault="00D45C3B" w:rsidP="00D45C3B">
      <w:pPr>
        <w:pStyle w:val="ListParagraph"/>
        <w:numPr>
          <w:ilvl w:val="1"/>
          <w:numId w:val="1"/>
        </w:numPr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ხელშეკრულების საფუძველზე მეიჯარე გადასცემს, ხოლო მოიჯარე იჯარის უფლებით დროებით სარგებლობაში იღებს სახელმწიფო სარგებლობაში არსებულ 1 კვ. მ. უძრავ ქონებას (შემდგომში - „საიჯარო ქონება“)</w:t>
      </w:r>
    </w:p>
    <w:p w:rsidR="00D45C3B" w:rsidRDefault="00D45C3B" w:rsidP="00D45C3B">
      <w:pPr>
        <w:pStyle w:val="ListParagraph"/>
        <w:numPr>
          <w:ilvl w:val="1"/>
          <w:numId w:val="1"/>
        </w:numPr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საიჯარო ქონება მდებარეობს მისამართზე: ქ. თბილისი, შ. რუსთაველის გამზ. #3 (ფაქტობრივი მისამართი ა. ფურცელაძის ქ. #3) მიწის (უძრავი ქონების) საკადასტრო კოდი: 01.15.04.025.001</w:t>
      </w:r>
    </w:p>
    <w:p w:rsidR="00D45C3B" w:rsidRDefault="00D45C3B" w:rsidP="00D45C3B">
      <w:pPr>
        <w:pStyle w:val="ListParagraph"/>
        <w:numPr>
          <w:ilvl w:val="1"/>
          <w:numId w:val="1"/>
        </w:numPr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საიჯარო ქონება გამოყენებულ იქნას მხოლოდ ბანკომატის განთავსებისა და ფუნქციონირების მიზნით.</w:t>
      </w:r>
    </w:p>
    <w:p w:rsidR="00D45C3B" w:rsidRDefault="00D45C3B" w:rsidP="00D45C3B">
      <w:pPr>
        <w:pStyle w:val="ListParagraph"/>
        <w:jc w:val="both"/>
        <w:rPr>
          <w:rFonts w:ascii="Sylfaen" w:hAnsi="Sylfaen"/>
          <w:lang w:val="ka-GE"/>
        </w:rPr>
      </w:pPr>
    </w:p>
    <w:p w:rsidR="00D45C3B" w:rsidRPr="001F02E2" w:rsidRDefault="00D45C3B" w:rsidP="00D45C3B">
      <w:pPr>
        <w:pStyle w:val="ListParagraph"/>
        <w:numPr>
          <w:ilvl w:val="0"/>
          <w:numId w:val="1"/>
        </w:numPr>
        <w:jc w:val="center"/>
        <w:rPr>
          <w:rFonts w:ascii="Sylfaen" w:hAnsi="Sylfaen"/>
          <w:b/>
          <w:lang w:val="ka-GE"/>
        </w:rPr>
      </w:pPr>
      <w:r w:rsidRPr="001F02E2">
        <w:rPr>
          <w:rFonts w:ascii="Sylfaen" w:hAnsi="Sylfaen"/>
          <w:b/>
          <w:lang w:val="ka-GE"/>
        </w:rPr>
        <w:t>მხარეთა უფლება-მოვალეობანი</w:t>
      </w:r>
    </w:p>
    <w:p w:rsidR="00D45C3B" w:rsidRDefault="00D45C3B" w:rsidP="00BA00DE">
      <w:pPr>
        <w:pStyle w:val="ListParagraph"/>
        <w:numPr>
          <w:ilvl w:val="1"/>
          <w:numId w:val="1"/>
        </w:numPr>
        <w:ind w:hanging="720"/>
        <w:jc w:val="both"/>
        <w:rPr>
          <w:rFonts w:ascii="Sylfaen" w:hAnsi="Sylfaen"/>
          <w:lang w:val="ka-GE"/>
        </w:rPr>
      </w:pPr>
      <w:r w:rsidRPr="00D45C3B">
        <w:rPr>
          <w:rFonts w:ascii="Sylfaen" w:hAnsi="Sylfaen"/>
          <w:lang w:val="ka-GE"/>
        </w:rPr>
        <w:t>მეიჯარე ულფებამოსილია</w:t>
      </w:r>
      <w:r>
        <w:rPr>
          <w:rFonts w:ascii="Sylfaen" w:hAnsi="Sylfaen"/>
          <w:lang w:val="ka-GE"/>
        </w:rPr>
        <w:t>:</w:t>
      </w:r>
    </w:p>
    <w:p w:rsidR="00D45C3B" w:rsidRDefault="00D45C3B" w:rsidP="00D45C3B">
      <w:pPr>
        <w:pStyle w:val="ListParagraph"/>
        <w:numPr>
          <w:ilvl w:val="2"/>
          <w:numId w:val="1"/>
        </w:num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მოიჯარეს მოსთხოვოს ხელშეკრულებით ნკაისრ ვალდებულებათა განუხრელი დაცვა;</w:t>
      </w:r>
    </w:p>
    <w:p w:rsidR="00D45C3B" w:rsidRDefault="00D45C3B" w:rsidP="00D45C3B">
      <w:pPr>
        <w:pStyle w:val="ListParagraph"/>
        <w:numPr>
          <w:ilvl w:val="2"/>
          <w:numId w:val="1"/>
        </w:num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მოიჯარეს მისცეს</w:t>
      </w:r>
      <w:r w:rsidR="00373A67">
        <w:rPr>
          <w:rFonts w:ascii="Sylfaen" w:hAnsi="Sylfaen"/>
        </w:rPr>
        <w:t xml:space="preserve"> </w:t>
      </w:r>
      <w:r w:rsidR="00373A67">
        <w:rPr>
          <w:rFonts w:ascii="Sylfaen" w:hAnsi="Sylfaen"/>
          <w:lang w:val="ka-GE"/>
        </w:rPr>
        <w:t>თანხმობა მესამე პირზე უძრავი ქონების სარგებლობაში გაცემასა და უძრავი ქონების გამოყენებასთან დაკავშირებულ სხვა საკითხებზე.</w:t>
      </w:r>
    </w:p>
    <w:p w:rsidR="00373A67" w:rsidRDefault="00373A67" w:rsidP="00D45C3B">
      <w:pPr>
        <w:pStyle w:val="ListParagraph"/>
        <w:numPr>
          <w:ilvl w:val="2"/>
          <w:numId w:val="1"/>
        </w:num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მოითხოვოს საიჯარო ქირის ხელშეკრულებით განსაზღვრულ ვადაში გადახდა.</w:t>
      </w:r>
    </w:p>
    <w:p w:rsidR="00373A67" w:rsidRDefault="00373A67" w:rsidP="00D45C3B">
      <w:pPr>
        <w:pStyle w:val="ListParagraph"/>
        <w:numPr>
          <w:ilvl w:val="2"/>
          <w:numId w:val="1"/>
        </w:numPr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ხელშეკრულება ვადამდე მოშალოს თუ მოიჯარე დანიშნულებისამებრ არ იყენებს გადაცემულ ქონებას, ან/და არღვევს ხელშეკრულებით განსაზღვრულ პირობებს. ასევე საქართველოს კანონმდებლობით განსაზღვრულ შემთხვევებში.</w:t>
      </w:r>
    </w:p>
    <w:p w:rsidR="00373A67" w:rsidRDefault="00373A67" w:rsidP="00373A67">
      <w:pPr>
        <w:pStyle w:val="ListParagraph"/>
        <w:numPr>
          <w:ilvl w:val="1"/>
          <w:numId w:val="1"/>
        </w:numPr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მეიჯარე ვალდებულია: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ხელშეკრულებით განსაზღვრული ვადით მიღება-ჩაბარების აქტის საფუძველზე სარგებლობაში გადასცეს მოიჯარეს საიჯარო ქონება.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უზრუნველყოს მოიჯარის მიერ საიჯარო ქონების თავისუფლად გამოყენების შესაძლებლობა მთელი საიჯარო პერიოდის განმავლობაში.</w:t>
      </w:r>
    </w:p>
    <w:p w:rsidR="00373A67" w:rsidRDefault="00373A67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 უფლებამოსილია:</w:t>
      </w:r>
    </w:p>
    <w:p w:rsidR="00373A67" w:rsidRPr="001B1FEE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 w:rsidRPr="001B1FEE">
        <w:rPr>
          <w:rFonts w:ascii="Sylfaen" w:hAnsi="Sylfaen"/>
          <w:lang w:val="ka-GE"/>
        </w:rPr>
        <w:t>მოშალოს წინამდებარე ხელშეკრულება, წინასწარი წერილობითი გაფრთხილებიდან 1 (ერთი) თვის ვადაში.</w:t>
      </w:r>
    </w:p>
    <w:p w:rsidR="00373A67" w:rsidRDefault="00373A67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 ვალდებულია: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გამოიყენოს საიჯარო ქონება მხოლოდ ხელშეკრულებით განსაზღვრული დანიშნულებით;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წინამდებარე ხელშეკრულების საჯარო რეესტრში რეგისტრაციიდან 5 დღის ვადაში უზრუნველყოს ბანკომატის საიჯარო ტერიტორიაზე განთავსება და მისი გამართული ფუნქციონირება.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უზრუნველყოს ბანკომატიდან საქართველოს ეროვნული მუზეუმის თანამშრომლებისთვის სახელფასო ანგარიშებზე რიცხული თანხის, განაღდების ოპერაციების მომსახურების პროცენტის გარეშე შესრულება;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საკუთარი სახსრებით უზრუნველყოს ფართის შიდა კომუნიკაცია და წინამდებარე ხელშეკრულების საჯარო რეესტრის ეროვნულ სააგენტოში რეგისტრაცია;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მეიჯარესთან შეთანხმების გარეშე არ დაუშვას უძრავი ქონების სხვაგვარი განკარგვა, სარგებლობის უფლებით გაცემა ან იჯარის უფლების სხვაგვარად დატვირთვა;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სრულად და დროულად გადაიხადოს ხელშეკრულებით განსაზღვრული საიჯარო ქირა;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„სახელმწიფო ქონების ეროვნული სააგენტოს“ მიერ იჯარის ხელშეკრულების გაუქმების შესახებ მოთხოვნის შემთხვევაში წერილობითი მოთხოვნიდან არაუმეტეს 2 კვირის ვადაში უქმდება იჯარის ხელშეკრულება და მოიჯარე ვალდებულია დაცალოს მასზე იჯარით გადაცემული ფართი;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ხელშეკრულების 2.4.7. მუხლის საფუძველზე იჯარის ხელშეკრულების გაუქმება არ წამოშობს მეიჯარისთვის რაიმე სახის კომპენსაციის ან ზიანის ანაზღაურების ვალდებულებას.</w:t>
      </w:r>
    </w:p>
    <w:p w:rsidR="00373A67" w:rsidRDefault="00373A67" w:rsidP="00373A67">
      <w:pPr>
        <w:pStyle w:val="ListParagraph"/>
        <w:numPr>
          <w:ilvl w:val="2"/>
          <w:numId w:val="1"/>
        </w:numPr>
        <w:tabs>
          <w:tab w:val="left" w:pos="720"/>
        </w:tabs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იჯარის ვადის გასვლის შემდეგ დაუბრუნოს მეიჯარეს საიჯარო ქონება ნომინალური ცვეთის გათვალისწინებით, ხოლო დაზიანების შემთხვევაში აანაზღაუროს მიყენებული ზიანი.</w:t>
      </w:r>
    </w:p>
    <w:p w:rsidR="00373A67" w:rsidRDefault="00373A67" w:rsidP="00373A67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373A67" w:rsidRDefault="00373A67" w:rsidP="00373A67">
      <w:pPr>
        <w:pStyle w:val="ListParagraph"/>
        <w:numPr>
          <w:ilvl w:val="0"/>
          <w:numId w:val="1"/>
        </w:numPr>
        <w:tabs>
          <w:tab w:val="left" w:pos="720"/>
        </w:tabs>
        <w:jc w:val="center"/>
        <w:rPr>
          <w:rFonts w:ascii="Sylfaen" w:hAnsi="Sylfaen"/>
          <w:b/>
          <w:lang w:val="ka-GE"/>
        </w:rPr>
      </w:pPr>
      <w:r w:rsidRPr="00373A67">
        <w:rPr>
          <w:rFonts w:ascii="Sylfaen" w:hAnsi="Sylfaen"/>
          <w:b/>
          <w:lang w:val="ka-GE"/>
        </w:rPr>
        <w:t>ანაზღაურება და მისი გადახდის და მისი გადახდის პირობები</w:t>
      </w:r>
    </w:p>
    <w:p w:rsidR="00373A67" w:rsidRDefault="00373A67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საიჯარო ქირის ყოველთვიური ოდენობა შეადგე</w:t>
      </w:r>
      <w:r w:rsidR="002301CD">
        <w:rPr>
          <w:rFonts w:ascii="Sylfaen" w:hAnsi="Sylfaen"/>
          <w:lang w:val="ka-GE"/>
        </w:rPr>
        <w:t>ნს 250 (ორას ორმოცდაათი) ლარს, დღგ-ს და კომუნალური მომსახურების ხარჯების ჩათვლით.</w:t>
      </w:r>
    </w:p>
    <w:p w:rsidR="002301CD" w:rsidRDefault="002301CD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ყოველთვიური საიჯარო ქირის გადახდა ხდება ყოველი თვის დასრულებიდან არაუგვაინეს 5 (ხუთი) სამუშაო დღის ვადაში უნაღდო ანგარიშსწორების წესით.</w:t>
      </w:r>
    </w:p>
    <w:p w:rsidR="002301CD" w:rsidRDefault="002301CD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ხელშეკრულებით დადგენილ ვადაში საიჯარო ქირის გადაუხდელობის შემთხვევაში მოიჯარე იხდის პირგასამტეხლოს ყოველ ვადაგადაცილებულ დღეზე გადაუხდელი თანხის 1%-ის ოდენობით, პირგასამტეხლოს გადახდა მოიჯარეს არ ათავისუფლებს საიჯარო ქირის გადახდის ვალდებულებისაგან.</w:t>
      </w:r>
    </w:p>
    <w:p w:rsidR="002301CD" w:rsidRDefault="002301CD" w:rsidP="00373A67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საიჯარო ქირის გადაუხდელობა ერთ თვის მანძლზე გაგრძელდა მეიჯარე უფლებამოსილია მოშალოს ხელშეკრულება, რაც არ ათავისუფლებს მოიჯარეს არსებული დავალიანების დაფარვის ვალდებულებისგან.</w:t>
      </w: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numPr>
          <w:ilvl w:val="0"/>
          <w:numId w:val="1"/>
        </w:numPr>
        <w:tabs>
          <w:tab w:val="left" w:pos="720"/>
        </w:tabs>
        <w:jc w:val="center"/>
        <w:rPr>
          <w:rFonts w:ascii="Sylfaen" w:hAnsi="Sylfaen"/>
          <w:b/>
          <w:lang w:val="ka-GE"/>
        </w:rPr>
      </w:pPr>
      <w:r w:rsidRPr="002301CD">
        <w:rPr>
          <w:rFonts w:ascii="Sylfaen" w:hAnsi="Sylfaen"/>
          <w:b/>
          <w:lang w:val="ka-GE"/>
        </w:rPr>
        <w:t>ხელშეკრულების ვადა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ხელშეკრულება ძალაში შედის მხარეთა მიერ მისი ხელმოწერისა და საჯარო რეესტრის ეროვნულ სააგენტოში რეგისტრაციის მომენტიდან. 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მოქმედების ვადა განისაზღვრება 1 (ერთ) წლით. მხარეები უფლებამოსილნი არიან ურთერთშეთანხმების საფუძველზე წერილობით ფორმით შეწყვიტონ ხელშეკრულების მოქმედება.</w:t>
      </w: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numPr>
          <w:ilvl w:val="0"/>
          <w:numId w:val="1"/>
        </w:numPr>
        <w:tabs>
          <w:tab w:val="left" w:pos="720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დავების გადაწყვეტა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ხელშეკრულების ფარგლებში წამოჭრილი სადავო საკითხების გადაწყვეტა ხდება მხარეთა ურთიერთმოლაპარაკების გზით. ხოლო ასეთის შეუძლებლობის შემთხვევაში საკითხს განიხილავს და წყვეტს სასამართლო.</w:t>
      </w: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numPr>
          <w:ilvl w:val="0"/>
          <w:numId w:val="1"/>
        </w:numPr>
        <w:tabs>
          <w:tab w:val="left" w:pos="720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დასკვნითი დებულებები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ხელშეკრულებით გაუთვალისწინებელი პირობები რეგულირდება საქართველოს კანონმდებლობით;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ნებისმიერი ცვლილება ხელშეკრულებაში უნდა განხორციელდეს წერილობითი ფორმით. სიტყვიერ შეთანხმებას იურიდიული ძალა არ აქვს;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ხელშეკრულება შედგენილია ქართულ ენაზე. 3 (სამი) თანაბარი იურიდიული ძალის მქონე ეგზემპლარად, თითო ეგზემპლარი ინახება მხარეებთან, ხოლო 1 ეგზემპლარი ბარდება საჯარო რეესტრის სარეგისტრაციო სამსახურს.</w:t>
      </w:r>
    </w:p>
    <w:p w:rsidR="002301CD" w:rsidRDefault="002301CD" w:rsidP="002301CD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რეგისტრაციას საჯარო რეესტრის სარეგისტრაციო სამსახურში უზრუნველყოფს მოიჯარე საკუთარი ხარჯებით.</w:t>
      </w: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tabs>
          <w:tab w:val="left" w:pos="720"/>
        </w:tabs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numPr>
          <w:ilvl w:val="0"/>
          <w:numId w:val="1"/>
        </w:num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მხარეთა რეკვიზიტები</w:t>
      </w:r>
    </w:p>
    <w:p w:rsidR="002301CD" w:rsidRDefault="002301CD" w:rsidP="002301CD">
      <w:pPr>
        <w:pStyle w:val="ListParagraph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89"/>
        <w:gridCol w:w="4237"/>
      </w:tblGrid>
      <w:tr w:rsidR="002301CD" w:rsidTr="002301CD">
        <w:tc>
          <w:tcPr>
            <w:tcW w:w="4673" w:type="dxa"/>
          </w:tcPr>
          <w:p w:rsidR="001F02E2" w:rsidRDefault="001F02E2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მეიჯარე</w:t>
            </w:r>
          </w:p>
          <w:p w:rsidR="002301CD" w:rsidRDefault="002301CD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სსიპ საქართველოს ეროვნული მუზეუმი</w:t>
            </w:r>
          </w:p>
          <w:p w:rsidR="002301CD" w:rsidRDefault="002301CD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ხაზინის ერთიანი ანგარიში</w:t>
            </w:r>
          </w:p>
          <w:p w:rsidR="002301CD" w:rsidRDefault="002301CD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ბანკის კოდი:</w:t>
            </w:r>
          </w:p>
          <w:p w:rsidR="002301CD" w:rsidRDefault="002301CD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მიმღების ანგარიში/</w:t>
            </w:r>
          </w:p>
          <w:p w:rsidR="002301CD" w:rsidRDefault="002301CD" w:rsidP="002301CD">
            <w:pPr>
              <w:pStyle w:val="ListParagrap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სახაზინო კოდი:</w:t>
            </w:r>
          </w:p>
          <w:p w:rsidR="002301CD" w:rsidRDefault="002301CD" w:rsidP="002301CD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73" w:type="dxa"/>
          </w:tcPr>
          <w:p w:rsidR="002301CD" w:rsidRDefault="001F02E2" w:rsidP="002301CD">
            <w:pPr>
              <w:pStyle w:val="ListParagraph"/>
              <w:ind w:left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მოიჯარე</w:t>
            </w:r>
          </w:p>
        </w:tc>
      </w:tr>
    </w:tbl>
    <w:p w:rsidR="002301CD" w:rsidRDefault="002301CD" w:rsidP="002301CD">
      <w:pPr>
        <w:pStyle w:val="ListParagraph"/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jc w:val="both"/>
        <w:rPr>
          <w:rFonts w:ascii="Sylfaen" w:hAnsi="Sylfaen"/>
          <w:lang w:val="ka-GE"/>
        </w:rPr>
      </w:pPr>
    </w:p>
    <w:p w:rsidR="002301CD" w:rsidRDefault="002301CD" w:rsidP="002301CD">
      <w:pPr>
        <w:pStyle w:val="ListParagraph"/>
        <w:jc w:val="both"/>
        <w:rPr>
          <w:rFonts w:ascii="Sylfaen" w:hAnsi="Sylfaen"/>
          <w:lang w:val="ka-GE"/>
        </w:rPr>
      </w:pPr>
    </w:p>
    <w:p w:rsidR="002301CD" w:rsidRPr="002301CD" w:rsidRDefault="002301CD" w:rsidP="002301CD">
      <w:pPr>
        <w:pStyle w:val="ListParagraph"/>
        <w:jc w:val="both"/>
        <w:rPr>
          <w:rFonts w:ascii="Sylfaen" w:hAnsi="Sylfaen"/>
          <w:lang w:val="ka-GE"/>
        </w:rPr>
      </w:pPr>
    </w:p>
    <w:sectPr w:rsidR="002301CD" w:rsidRPr="002301CD" w:rsidSect="00F0484F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F078E"/>
    <w:multiLevelType w:val="multilevel"/>
    <w:tmpl w:val="DB26C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F1"/>
    <w:rsid w:val="001B1FEE"/>
    <w:rsid w:val="001D217B"/>
    <w:rsid w:val="001F02E2"/>
    <w:rsid w:val="002301CD"/>
    <w:rsid w:val="002D17F1"/>
    <w:rsid w:val="00373A67"/>
    <w:rsid w:val="0058728E"/>
    <w:rsid w:val="006E08E3"/>
    <w:rsid w:val="00D21CE2"/>
    <w:rsid w:val="00D45C3B"/>
    <w:rsid w:val="00F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5F96-8E6B-48CB-BD06-121EF5B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E2"/>
    <w:pPr>
      <w:ind w:left="720"/>
      <w:contextualSpacing/>
    </w:pPr>
  </w:style>
  <w:style w:type="table" w:styleId="TableGrid">
    <w:name w:val="Table Grid"/>
    <w:basedOn w:val="TableNormal"/>
    <w:uiPriority w:val="39"/>
    <w:rsid w:val="0023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2020-01-21T09:22:00Z</dcterms:created>
  <dcterms:modified xsi:type="dcterms:W3CDTF">2021-02-19T10:18:00Z</dcterms:modified>
</cp:coreProperties>
</file>