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4298CF7F"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146FE7">
        <w:rPr>
          <w:rFonts w:asciiTheme="majorHAnsi" w:hAnsiTheme="majorHAnsi" w:cstheme="majorHAnsi"/>
          <w:lang w:val="ka-GE"/>
        </w:rPr>
        <w:t>2</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3F0FB2AD"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w:t>
      </w:r>
      <w:r w:rsidR="00B11654">
        <w:rPr>
          <w:rFonts w:asciiTheme="majorHAnsi" w:hAnsiTheme="majorHAnsi" w:cstheme="majorHAnsi"/>
          <w:lang w:val="ka-GE"/>
        </w:rPr>
        <w:t xml:space="preserve"> </w:t>
      </w:r>
      <w:r w:rsidRPr="00652058">
        <w:rPr>
          <w:rFonts w:asciiTheme="majorHAnsi" w:hAnsiTheme="majorHAnsi" w:cstheme="majorHAnsi"/>
          <w:lang w:val="ka-GE"/>
        </w:rPr>
        <w:t>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77777777"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და იბეგრება 0%-იანი განაკვეთით).</w:t>
      </w:r>
    </w:p>
    <w:p w14:paraId="5F48525C" w14:textId="40F97497" w:rsidR="002E5F87" w:rsidRPr="008F321D" w:rsidRDefault="002E5F87" w:rsidP="006C4793">
      <w:pPr>
        <w:jc w:val="both"/>
        <w:rPr>
          <w:rFonts w:asciiTheme="majorHAnsi" w:hAnsiTheme="majorHAnsi" w:cstheme="majorHAnsi"/>
          <w:lang w:val="ka-GE"/>
        </w:rPr>
      </w:pPr>
    </w:p>
    <w:p w14:paraId="748C8BC1"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22F04F81"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B11654">
        <w:rPr>
          <w:rFonts w:asciiTheme="majorHAnsi" w:hAnsiTheme="majorHAnsi" w:cstheme="majorHAnsi"/>
          <w:b/>
          <w:lang w:val="ka-GE"/>
        </w:rPr>
        <w:t>2</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lastRenderedPageBreak/>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9104D13"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3.1.1.</w:t>
      </w:r>
      <w:r w:rsidR="00B11654">
        <w:rPr>
          <w:rFonts w:asciiTheme="majorHAnsi" w:hAnsiTheme="majorHAnsi" w:cstheme="majorHAnsi"/>
          <w:lang w:val="ka-GE"/>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432FAD2C"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3.1.3.</w:t>
      </w:r>
      <w:r w:rsidR="00B11654">
        <w:rPr>
          <w:rFonts w:asciiTheme="majorHAnsi" w:hAnsiTheme="majorHAnsi" w:cstheme="majorHAnsi"/>
          <w:lang w:val="ka-GE"/>
        </w:rPr>
        <w:t xml:space="preserve">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826DFC0"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0662CB6E"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1722E60C"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30E01ED8"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09430602"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w:t>
      </w:r>
      <w:r w:rsidRPr="008F321D">
        <w:rPr>
          <w:rFonts w:asciiTheme="majorHAnsi" w:hAnsiTheme="majorHAnsi" w:cstheme="majorHAnsi"/>
        </w:rPr>
        <w:lastRenderedPageBreak/>
        <w:t>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6B4A304C"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182BCEF2"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შეტყობინებები და ენა</w:t>
      </w:r>
    </w:p>
    <w:p w14:paraId="4183D4EC" w14:textId="63AECCCA"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8F422CC"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r w:rsidR="00657E53">
        <w:rPr>
          <w:rFonts w:asciiTheme="majorHAnsi" w:hAnsiTheme="majorHAnsi" w:cstheme="majorHAnsi"/>
          <w:bCs/>
          <w:lang w:val="ka-GE"/>
        </w:rPr>
        <w:t>ქ.თბილისი, მნათობის ქუჩა N 73</w:t>
      </w:r>
    </w:p>
    <w:p w14:paraId="377BBCEB" w14:textId="422AB7CD"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r w:rsidR="00657E53">
        <w:rPr>
          <w:rFonts w:asciiTheme="majorHAnsi" w:hAnsiTheme="majorHAnsi" w:cstheme="majorHAnsi"/>
          <w:bCs/>
          <w:lang w:val="ka-GE"/>
        </w:rPr>
        <w:t xml:space="preserve"> 2710002</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48510A95"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r w:rsidR="00657E53">
        <w:rPr>
          <w:rFonts w:asciiTheme="majorHAnsi" w:hAnsiTheme="majorHAnsi" w:cstheme="majorHAnsi"/>
          <w:bCs/>
          <w:lang w:val="ka-GE"/>
        </w:rPr>
        <w:t xml:space="preserve"> </w:t>
      </w:r>
      <w:r w:rsidR="00657E53">
        <w:rPr>
          <w:rFonts w:asciiTheme="majorHAnsi" w:hAnsiTheme="majorHAnsi" w:cstheme="majorHAnsi"/>
          <w:bCs/>
        </w:rPr>
        <w:t>info@delta.gov.ge</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680FD63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04C473D5" w:rsidR="00291518"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საიდენტიფიკაციო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Pr>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657E53" w:rsidRDefault="008F321D" w:rsidP="008F321D">
                            <w:pPr>
                              <w:rPr>
                                <w:rFonts w:asciiTheme="majorHAnsi" w:hAnsiTheme="majorHAnsi" w:cstheme="majorHAnsi"/>
                                <w:b/>
                                <w:bCs/>
                              </w:rPr>
                            </w:pPr>
                            <w:r w:rsidRPr="00657E53">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657E53" w:rsidRDefault="008F321D" w:rsidP="008F321D">
                            <w:pPr>
                              <w:rPr>
                                <w:rFonts w:asciiTheme="majorHAnsi" w:hAnsiTheme="majorHAnsi" w:cstheme="majorHAnsi"/>
                                <w:b/>
                                <w:bCs/>
                              </w:rPr>
                            </w:pPr>
                            <w:r w:rsidRPr="00657E53">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1449E" id="_x0000_t202" coordsize="21600,21600" o:spt="202" path="m,l,21600r21600,l21600,xe">
                <v:stroke joinstyle="miter"/>
                <v:path gradientshapeok="t" o:connecttype="rect"/>
              </v:shapetype>
              <v:shap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657E53" w:rsidRDefault="008F321D" w:rsidP="008F321D">
                      <w:pPr>
                        <w:rPr>
                          <w:rFonts w:asciiTheme="majorHAnsi" w:hAnsiTheme="majorHAnsi" w:cstheme="majorHAnsi"/>
                          <w:b/>
                          <w:bCs/>
                        </w:rPr>
                      </w:pPr>
                      <w:r w:rsidRPr="00657E53">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657E53" w:rsidRDefault="008F321D" w:rsidP="008F321D">
                      <w:pPr>
                        <w:rPr>
                          <w:rFonts w:asciiTheme="majorHAnsi" w:hAnsiTheme="majorHAnsi" w:cstheme="majorHAnsi"/>
                          <w:b/>
                          <w:bCs/>
                        </w:rPr>
                      </w:pPr>
                      <w:r w:rsidRPr="00657E53">
                        <w:rPr>
                          <w:rFonts w:asciiTheme="majorHAnsi" w:hAnsiTheme="majorHAnsi" w:cstheme="majorHAnsi"/>
                          <w:b/>
                          <w:bCs/>
                        </w:rPr>
                        <w:t>იოსებ ლოლაძე</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0E7BF6"/>
    <w:rsid w:val="00146FE7"/>
    <w:rsid w:val="00287F1E"/>
    <w:rsid w:val="00291518"/>
    <w:rsid w:val="002E5F87"/>
    <w:rsid w:val="00385399"/>
    <w:rsid w:val="0040547A"/>
    <w:rsid w:val="0048378F"/>
    <w:rsid w:val="005241E5"/>
    <w:rsid w:val="00562709"/>
    <w:rsid w:val="005B7690"/>
    <w:rsid w:val="006023AB"/>
    <w:rsid w:val="00652058"/>
    <w:rsid w:val="00657E53"/>
    <w:rsid w:val="006C4793"/>
    <w:rsid w:val="00745879"/>
    <w:rsid w:val="00767C66"/>
    <w:rsid w:val="007A031F"/>
    <w:rsid w:val="00801CF8"/>
    <w:rsid w:val="008869E8"/>
    <w:rsid w:val="008F321D"/>
    <w:rsid w:val="009125C9"/>
    <w:rsid w:val="00952C48"/>
    <w:rsid w:val="009619F0"/>
    <w:rsid w:val="00A1749B"/>
    <w:rsid w:val="00A241B2"/>
    <w:rsid w:val="00B11654"/>
    <w:rsid w:val="00B54F47"/>
    <w:rsid w:val="00CE26BB"/>
    <w:rsid w:val="00D13CE2"/>
    <w:rsid w:val="00D326FD"/>
    <w:rsid w:val="00D53CEE"/>
    <w:rsid w:val="00DF7142"/>
    <w:rsid w:val="00E15946"/>
    <w:rsid w:val="00E9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2AFA-4EB6-4116-9ADC-A2478B14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ზურაბ მიქაშავიძე</cp:lastModifiedBy>
  <cp:revision>9</cp:revision>
  <cp:lastPrinted>2020-07-09T06:31:00Z</cp:lastPrinted>
  <dcterms:created xsi:type="dcterms:W3CDTF">2021-11-22T09:32:00Z</dcterms:created>
  <dcterms:modified xsi:type="dcterms:W3CDTF">2022-03-26T12:03:00Z</dcterms:modified>
</cp:coreProperties>
</file>